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26" w:rsidRPr="001B3426" w:rsidRDefault="001B3426" w:rsidP="001B3426">
      <w:pPr>
        <w:spacing w:before="120"/>
        <w:ind w:firstLine="426"/>
        <w:jc w:val="right"/>
        <w:rPr>
          <w:rFonts w:ascii="Times New Roman" w:hAnsi="Times New Roman" w:cs="Times New Roman"/>
          <w:i/>
          <w:sz w:val="24"/>
          <w:szCs w:val="24"/>
        </w:rPr>
      </w:pPr>
      <w:r w:rsidRPr="001B3426">
        <w:rPr>
          <w:rFonts w:ascii="Times New Roman" w:hAnsi="Times New Roman" w:cs="Times New Roman"/>
          <w:i/>
          <w:sz w:val="24"/>
          <w:szCs w:val="24"/>
        </w:rPr>
        <w:t xml:space="preserve">Projekt z dnia </w:t>
      </w:r>
      <w:r w:rsidR="00FF13AD">
        <w:rPr>
          <w:rFonts w:ascii="Times New Roman" w:hAnsi="Times New Roman" w:cs="Times New Roman"/>
          <w:i/>
          <w:sz w:val="24"/>
          <w:szCs w:val="24"/>
        </w:rPr>
        <w:t>30</w:t>
      </w:r>
      <w:bookmarkStart w:id="0" w:name="_GoBack"/>
      <w:bookmarkEnd w:id="0"/>
      <w:r w:rsidRPr="001B3426">
        <w:rPr>
          <w:rFonts w:ascii="Times New Roman" w:hAnsi="Times New Roman" w:cs="Times New Roman"/>
          <w:i/>
          <w:sz w:val="24"/>
          <w:szCs w:val="24"/>
        </w:rPr>
        <w:t xml:space="preserve"> kwietnia 2014 r.</w:t>
      </w:r>
    </w:p>
    <w:p w:rsidR="001B3426" w:rsidRPr="001B3426" w:rsidRDefault="001B3426" w:rsidP="001B3426">
      <w:pPr>
        <w:spacing w:before="120" w:after="0" w:line="240" w:lineRule="auto"/>
        <w:ind w:firstLine="426"/>
        <w:jc w:val="center"/>
        <w:rPr>
          <w:rFonts w:ascii="Times New Roman" w:eastAsia="Times New Roman" w:hAnsi="Times New Roman" w:cs="Times New Roman"/>
          <w:b/>
          <w:bCs/>
          <w:sz w:val="24"/>
          <w:szCs w:val="24"/>
          <w:lang w:eastAsia="pl-PL"/>
        </w:rPr>
      </w:pPr>
    </w:p>
    <w:p w:rsidR="001B3426" w:rsidRPr="001B3426" w:rsidRDefault="001B3426" w:rsidP="001B3426">
      <w:pPr>
        <w:spacing w:before="120" w:after="0" w:line="240" w:lineRule="auto"/>
        <w:ind w:firstLine="426"/>
        <w:jc w:val="center"/>
        <w:rPr>
          <w:rFonts w:ascii="Times New Roman" w:eastAsia="Times New Roman" w:hAnsi="Times New Roman" w:cs="Times New Roman"/>
          <w:b/>
          <w:bCs/>
          <w:sz w:val="24"/>
          <w:szCs w:val="24"/>
          <w:lang w:eastAsia="pl-PL"/>
        </w:rPr>
      </w:pPr>
    </w:p>
    <w:p w:rsidR="001B3426" w:rsidRPr="001B3426" w:rsidRDefault="001B3426" w:rsidP="001B3426">
      <w:pPr>
        <w:spacing w:before="120" w:after="0" w:line="240" w:lineRule="auto"/>
        <w:ind w:firstLine="426"/>
        <w:jc w:val="center"/>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ROZPORZĄDZENIE</w:t>
      </w:r>
    </w:p>
    <w:p w:rsidR="001B3426" w:rsidRPr="001B3426" w:rsidRDefault="001B3426" w:rsidP="001B3426">
      <w:pPr>
        <w:spacing w:before="120" w:after="0" w:line="240" w:lineRule="auto"/>
        <w:ind w:firstLine="426"/>
        <w:jc w:val="center"/>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MINISTRA FINANSÓW</w:t>
      </w:r>
      <w:r w:rsidRPr="001B3426">
        <w:rPr>
          <w:rFonts w:ascii="Times New Roman" w:eastAsia="Times New Roman" w:hAnsi="Times New Roman" w:cs="Times New Roman"/>
          <w:b/>
          <w:bCs/>
          <w:sz w:val="24"/>
          <w:szCs w:val="24"/>
          <w:vertAlign w:val="superscript"/>
          <w:lang w:eastAsia="pl-PL"/>
        </w:rPr>
        <w:footnoteReference w:customMarkFollows="1" w:id="1"/>
        <w:t>1)</w:t>
      </w:r>
    </w:p>
    <w:p w:rsidR="001B3426" w:rsidRPr="001B3426" w:rsidRDefault="001B3426" w:rsidP="001B3426">
      <w:pPr>
        <w:spacing w:before="120" w:after="120" w:line="240" w:lineRule="auto"/>
        <w:ind w:firstLine="426"/>
        <w:jc w:val="center"/>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z dnia ……………….. 2014 r.</w:t>
      </w:r>
    </w:p>
    <w:p w:rsidR="001B3426" w:rsidRPr="001B3426" w:rsidRDefault="001B3426" w:rsidP="001B3426">
      <w:pPr>
        <w:spacing w:before="120" w:after="0" w:line="240" w:lineRule="auto"/>
        <w:ind w:firstLine="426"/>
        <w:jc w:val="center"/>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 xml:space="preserve">w sprawie </w:t>
      </w:r>
      <w:r w:rsidR="00157A2C">
        <w:rPr>
          <w:rFonts w:ascii="Times New Roman" w:eastAsia="Times New Roman" w:hAnsi="Times New Roman" w:cs="Times New Roman"/>
          <w:b/>
          <w:bCs/>
          <w:sz w:val="24"/>
          <w:szCs w:val="24"/>
          <w:lang w:eastAsia="pl-PL"/>
        </w:rPr>
        <w:t xml:space="preserve">opłat na pokrycie kosztów nadzoru nad rynkiem kapitałowym </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Na podstawie </w:t>
      </w:r>
      <w:hyperlink r:id="rId8" w:anchor="hiperlinkText.rpc?hiperlink=type=tresc:nro=Powszechny.443642:part=a17u6&amp;full=1" w:tgtFrame="_parent" w:history="1">
        <w:r w:rsidRPr="001B3426">
          <w:rPr>
            <w:rFonts w:ascii="Times New Roman" w:eastAsia="Times New Roman" w:hAnsi="Times New Roman" w:cs="Times New Roman"/>
            <w:sz w:val="24"/>
            <w:szCs w:val="24"/>
            <w:lang w:eastAsia="pl-PL"/>
          </w:rPr>
          <w:t xml:space="preserve">art. 17 ust. </w:t>
        </w:r>
      </w:hyperlink>
      <w:r w:rsidR="00835DBE">
        <w:rPr>
          <w:rFonts w:ascii="Times New Roman" w:eastAsia="Times New Roman" w:hAnsi="Times New Roman" w:cs="Times New Roman"/>
          <w:sz w:val="24"/>
          <w:szCs w:val="24"/>
          <w:lang w:eastAsia="pl-PL"/>
        </w:rPr>
        <w:t>11</w:t>
      </w:r>
      <w:r w:rsidRPr="001B3426">
        <w:rPr>
          <w:rFonts w:ascii="Times New Roman" w:eastAsia="Times New Roman" w:hAnsi="Times New Roman" w:cs="Times New Roman"/>
          <w:sz w:val="24"/>
          <w:szCs w:val="24"/>
          <w:lang w:eastAsia="pl-PL"/>
        </w:rPr>
        <w:t xml:space="preserve"> ustawy z dnia 29 lipca 2005 r. o nadzorze nad rynkiem kapitałowym (Dz. U. Nr 183, poz. 1537, z późn. zm.) zarządza się, co następuje:</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Pr="001B3426">
        <w:rPr>
          <w:rFonts w:ascii="Times New Roman" w:eastAsia="Times New Roman" w:hAnsi="Times New Roman" w:cs="Times New Roman"/>
          <w:b/>
          <w:bCs/>
          <w:sz w:val="24"/>
          <w:szCs w:val="24"/>
          <w:lang w:eastAsia="pl-PL"/>
        </w:rPr>
        <w:t>1.</w:t>
      </w:r>
      <w:r w:rsidRPr="001B3426">
        <w:rPr>
          <w:rFonts w:ascii="Times New Roman" w:eastAsia="Times New Roman" w:hAnsi="Times New Roman" w:cs="Times New Roman"/>
          <w:sz w:val="24"/>
          <w:szCs w:val="24"/>
          <w:lang w:eastAsia="pl-PL"/>
        </w:rPr>
        <w:t> Rozporządzenie określa:</w:t>
      </w:r>
    </w:p>
    <w:p w:rsidR="001B3426" w:rsidRPr="001B3426" w:rsidRDefault="001B3426" w:rsidP="001B3426">
      <w:pPr>
        <w:spacing w:before="120" w:after="0" w:line="240" w:lineRule="auto"/>
        <w:ind w:left="993"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1)  wysokość opłat za:</w:t>
      </w:r>
    </w:p>
    <w:p w:rsidR="00377560" w:rsidRPr="00377560" w:rsidRDefault="00377560" w:rsidP="00377560">
      <w:pPr>
        <w:numPr>
          <w:ilvl w:val="0"/>
          <w:numId w:val="14"/>
        </w:numPr>
        <w:spacing w:before="120"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zezwolenia, pozwolenia i zgody udzielane przez Komisję Nadzoru Finansowego, zwaną dalej „Komisją”, na podstawie przepisów</w:t>
      </w:r>
      <w:r w:rsidRPr="0037756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rozporządzenia</w:t>
      </w:r>
      <w:r w:rsidRPr="00377560">
        <w:rPr>
          <w:rFonts w:ascii="Times New Roman" w:eastAsia="Times New Roman" w:hAnsi="Times New Roman" w:cs="Times New Roman"/>
          <w:sz w:val="24"/>
          <w:szCs w:val="24"/>
          <w:lang w:eastAsia="pl-PL"/>
        </w:rPr>
        <w:t xml:space="preserve"> Parlamentu Europejskiego i Rady (UE) Nr 648/2012 z dnia 4 lipca 2012 r. w sprawie instrumentów pochodnych będących przedmiotem obrotu poza rynkiem regulowanym, kontrahentów centralnych i repozyt</w:t>
      </w:r>
      <w:r>
        <w:rPr>
          <w:rFonts w:ascii="Times New Roman" w:eastAsia="Times New Roman" w:hAnsi="Times New Roman" w:cs="Times New Roman"/>
          <w:sz w:val="24"/>
          <w:szCs w:val="24"/>
          <w:lang w:eastAsia="pl-PL"/>
        </w:rPr>
        <w:t xml:space="preserve">oriów transakcji (Dz. Urz. UE L </w:t>
      </w:r>
      <w:r w:rsidRPr="00377560">
        <w:rPr>
          <w:rFonts w:ascii="Times New Roman" w:eastAsia="Times New Roman" w:hAnsi="Times New Roman" w:cs="Times New Roman"/>
          <w:sz w:val="24"/>
          <w:szCs w:val="24"/>
          <w:lang w:eastAsia="pl-PL"/>
        </w:rPr>
        <w:t>201 z 2012 r., str. 1),</w:t>
      </w:r>
      <w:r>
        <w:rPr>
          <w:rFonts w:ascii="Times New Roman" w:eastAsia="Times New Roman" w:hAnsi="Times New Roman" w:cs="Times New Roman"/>
          <w:sz w:val="24"/>
          <w:szCs w:val="24"/>
          <w:lang w:eastAsia="pl-PL"/>
        </w:rPr>
        <w:t xml:space="preserve"> zwanego dalej „rozporządzeniem Nr 648/2012”,</w:t>
      </w:r>
    </w:p>
    <w:p w:rsidR="00377560" w:rsidRPr="00377560" w:rsidRDefault="00377560" w:rsidP="00377560">
      <w:pPr>
        <w:numPr>
          <w:ilvl w:val="0"/>
          <w:numId w:val="14"/>
        </w:numPr>
        <w:spacing w:before="120"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zezwolenia, pozwolenia i zgody udzielane przez Komisję na podstawie przepisów rozporządzenia </w:t>
      </w:r>
      <w:r w:rsidRPr="00D37ED3">
        <w:rPr>
          <w:rFonts w:ascii="Times New Roman" w:eastAsia="Times New Roman" w:hAnsi="Times New Roman" w:cs="Times New Roman"/>
          <w:sz w:val="24"/>
          <w:szCs w:val="24"/>
          <w:lang w:eastAsia="pl-PL"/>
        </w:rPr>
        <w:t>Parlamentu Europejskiego i Rady (UE) Nr 575/2013 z dnia 26 czerwca 2013 r. w sprawie</w:t>
      </w:r>
      <w:r w:rsidRPr="00D37ED3">
        <w:rPr>
          <w:rFonts w:ascii="Times New Roman" w:hAnsi="Times New Roman" w:cs="Times New Roman"/>
          <w:bCs/>
          <w:sz w:val="24"/>
          <w:szCs w:val="24"/>
        </w:rPr>
        <w:t xml:space="preserve"> wymogów ostrożnościowych dla instytucji kredytowych i firm inwestycyjnych, zmieniające rozporządzenie (UE) nr 648/2012 (</w:t>
      </w:r>
      <w:r w:rsidRPr="00D37ED3">
        <w:rPr>
          <w:rFonts w:ascii="Times New Roman" w:eastAsia="Times New Roman" w:hAnsi="Times New Roman" w:cs="Times New Roman"/>
          <w:sz w:val="24"/>
          <w:szCs w:val="24"/>
          <w:lang w:eastAsia="pl-PL"/>
        </w:rPr>
        <w:t>Dz. Urz. UE L 176 z 2013 r., str. 1, z późn. zm.)</w:t>
      </w:r>
      <w:r w:rsidRPr="00D37ED3">
        <w:rPr>
          <w:rFonts w:ascii="Times New Roman" w:hAnsi="Times New Roman" w:cs="Times New Roman"/>
          <w:bCs/>
          <w:sz w:val="24"/>
          <w:szCs w:val="24"/>
        </w:rPr>
        <w:t xml:space="preserve">, </w:t>
      </w:r>
      <w:r>
        <w:rPr>
          <w:rFonts w:ascii="Times New Roman" w:hAnsi="Times New Roman" w:cs="Times New Roman"/>
          <w:bCs/>
          <w:sz w:val="24"/>
          <w:szCs w:val="24"/>
        </w:rPr>
        <w:t>zwanego dalej „rozporządzeniem Nr 575/2013”,</w:t>
      </w:r>
    </w:p>
    <w:p w:rsidR="001B3426" w:rsidRPr="001B3426" w:rsidRDefault="001B3426" w:rsidP="001B3426">
      <w:pPr>
        <w:numPr>
          <w:ilvl w:val="0"/>
          <w:numId w:val="14"/>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zezwolenia i zgody udzielane przez Komisję oraz zatwierdzenie przez Komisję regulaminu na podstawie przepisów </w:t>
      </w:r>
      <w:hyperlink r:id="rId9" w:anchor="hiperlinkText.rpc?hiperlink=type=tresc:nro=Powszechny.44364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z dnia 29 lipca 2005 r. o obrocie instrumentami finansowymi (Dz. U. z 201</w:t>
      </w:r>
      <w:r w:rsidR="002A0EFC">
        <w:rPr>
          <w:rFonts w:ascii="Times New Roman" w:eastAsia="Times New Roman" w:hAnsi="Times New Roman" w:cs="Times New Roman"/>
          <w:sz w:val="24"/>
          <w:szCs w:val="24"/>
          <w:lang w:eastAsia="pl-PL"/>
        </w:rPr>
        <w:t>4</w:t>
      </w:r>
      <w:r w:rsidRPr="001B3426">
        <w:rPr>
          <w:rFonts w:ascii="Times New Roman" w:eastAsia="Times New Roman" w:hAnsi="Times New Roman" w:cs="Times New Roman"/>
          <w:sz w:val="24"/>
          <w:szCs w:val="24"/>
          <w:lang w:eastAsia="pl-PL"/>
        </w:rPr>
        <w:t xml:space="preserve"> r. poz.</w:t>
      </w:r>
      <w:r w:rsidR="002A0EFC">
        <w:rPr>
          <w:rFonts w:ascii="Times New Roman" w:eastAsia="Times New Roman" w:hAnsi="Times New Roman" w:cs="Times New Roman"/>
          <w:sz w:val="24"/>
          <w:szCs w:val="24"/>
          <w:lang w:eastAsia="pl-PL"/>
        </w:rPr>
        <w:t xml:space="preserve"> 94</w:t>
      </w:r>
      <w:r w:rsidRPr="001B3426">
        <w:rPr>
          <w:rFonts w:ascii="Times New Roman" w:eastAsia="Times New Roman" w:hAnsi="Times New Roman" w:cs="Times New Roman"/>
          <w:sz w:val="24"/>
          <w:szCs w:val="24"/>
          <w:lang w:eastAsia="pl-PL"/>
        </w:rPr>
        <w:t xml:space="preserve">),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ustawą o obrocie instrumentami finansowymi</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1B3426" w:rsidRPr="001B3426" w:rsidRDefault="001B3426" w:rsidP="001B3426">
      <w:pPr>
        <w:numPr>
          <w:ilvl w:val="0"/>
          <w:numId w:val="14"/>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złożenie do Komisji zawiadomienia lub przekazanie informacji na podstawie przepisów </w:t>
      </w:r>
      <w:hyperlink r:id="rId10" w:anchor="hiperlinkText.rpc?hiperlink=type=tresc:nro=Powszechny.44364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obrocie instrumentami finansowymi,</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c)  zezwolenia i zgody udzielane przez Komisję na podstawie przepisów </w:t>
      </w:r>
      <w:hyperlink r:id="rId11" w:anchor="hiperlinkText.rpc?hiperlink=type=tresc:nro=Powszechny.799229&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z dnia 29 lipca 2005 r. o ofercie publicznej i warunkach wprowadzania instrumentów finansowych do zorganizowanego systemu obrotu oraz o spółkach publicznych (Dz. U. z 2009 r. Nr 185, poz. 1439),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ustawą o ofercie publicznej</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d) uzyskanie przez dany podmiot statusu agencji informacyjnej w związku z wydaniem decyzji, o której mowa w art. 58 ust. 1 ustawy o ofercie publicznej,</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e) dokonanie wpisu do ewidencji, o której mowa w </w:t>
      </w:r>
      <w:hyperlink r:id="rId12" w:anchor="hiperlinkText.rpc?hiperlink=type=tresc:nro=Powszechny.799229:part=a10u1&amp;full=1" w:tgtFrame="_parent" w:history="1">
        <w:r w:rsidRPr="001B3426">
          <w:rPr>
            <w:rFonts w:ascii="Times New Roman" w:eastAsia="Times New Roman" w:hAnsi="Times New Roman" w:cs="Times New Roman"/>
            <w:sz w:val="24"/>
            <w:szCs w:val="24"/>
            <w:lang w:eastAsia="pl-PL"/>
          </w:rPr>
          <w:t>art. 10 ust. 1</w:t>
        </w:r>
      </w:hyperlink>
      <w:r w:rsidRPr="001B3426">
        <w:rPr>
          <w:rFonts w:ascii="Times New Roman" w:eastAsia="Times New Roman" w:hAnsi="Times New Roman" w:cs="Times New Roman"/>
          <w:sz w:val="24"/>
          <w:szCs w:val="24"/>
          <w:lang w:eastAsia="pl-PL"/>
        </w:rPr>
        <w:t xml:space="preserve"> ustawy o ofercie publicznej,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opłatą ewidencyjną</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f)  dokonanie wpisu do rejestrów, o których mowa w </w:t>
      </w:r>
      <w:hyperlink r:id="rId13" w:anchor="hiperlinkText.rpc?hiperlink=type=tresc:nro=Powszechny.328803:part=a263&amp;full=1" w:tgtFrame="_parent" w:history="1">
        <w:r w:rsidRPr="001B3426">
          <w:rPr>
            <w:rFonts w:ascii="Times New Roman" w:eastAsia="Times New Roman" w:hAnsi="Times New Roman" w:cs="Times New Roman"/>
            <w:sz w:val="24"/>
            <w:szCs w:val="24"/>
            <w:lang w:eastAsia="pl-PL"/>
          </w:rPr>
          <w:t>art. 263</w:t>
        </w:r>
      </w:hyperlink>
      <w:r w:rsidRPr="001B3426">
        <w:rPr>
          <w:rFonts w:ascii="Times New Roman" w:eastAsia="Times New Roman" w:hAnsi="Times New Roman" w:cs="Times New Roman"/>
          <w:sz w:val="24"/>
          <w:szCs w:val="24"/>
          <w:lang w:eastAsia="pl-PL"/>
        </w:rPr>
        <w:t xml:space="preserve"> i art. </w:t>
      </w:r>
      <w:hyperlink r:id="rId14" w:anchor="hiperlinkText.rpc?hiperlink=type=tresc:nro=Powszechny.328803:part=a278&amp;full=1" w:tgtFrame="_parent" w:history="1">
        <w:r w:rsidRPr="001B3426">
          <w:rPr>
            <w:rFonts w:ascii="Times New Roman" w:eastAsia="Times New Roman" w:hAnsi="Times New Roman" w:cs="Times New Roman"/>
            <w:sz w:val="24"/>
            <w:szCs w:val="24"/>
            <w:lang w:eastAsia="pl-PL"/>
          </w:rPr>
          <w:t>278</w:t>
        </w:r>
      </w:hyperlink>
      <w:r w:rsidRPr="001B3426">
        <w:rPr>
          <w:rFonts w:ascii="Times New Roman" w:eastAsia="Times New Roman" w:hAnsi="Times New Roman" w:cs="Times New Roman"/>
          <w:sz w:val="24"/>
          <w:szCs w:val="24"/>
          <w:lang w:eastAsia="pl-PL"/>
        </w:rPr>
        <w:t xml:space="preserve"> ustawy z dnia 27 maja 2004 r. o funduszach inwestycyjnych (Dz. U. Nr 146, poz. 1546, z późn. zm.),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ustawą o funduszach inwestycyjnych</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g)  zezwolenia i zgody udzielane przez Komisję na podstawie przepisów </w:t>
      </w:r>
      <w:hyperlink r:id="rId15" w:anchor="hiperlinkText.rpc?hiperlink=type=tresc:nro=Powszechny.32880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funduszach inwestycyjnych,</w:t>
      </w:r>
    </w:p>
    <w:p w:rsidR="001B3426" w:rsidRPr="001B3426" w:rsidRDefault="001B3426" w:rsidP="001B3426">
      <w:pPr>
        <w:spacing w:before="120" w:after="0" w:line="240" w:lineRule="auto"/>
        <w:ind w:left="1276"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h)  zezwolenia udzielane przez Komisję na podstawie przepisów </w:t>
      </w:r>
      <w:hyperlink r:id="rId16" w:anchor="hiperlinkText.rpc?hiperlink=type=tresc:nro=Powszechny.831417&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z dnia 26 października 2000 r. o giełdach towarowych (Dz. U. z 201</w:t>
      </w:r>
      <w:r w:rsidR="002A0EFC">
        <w:rPr>
          <w:rFonts w:ascii="Times New Roman" w:eastAsia="Times New Roman" w:hAnsi="Times New Roman" w:cs="Times New Roman"/>
          <w:sz w:val="24"/>
          <w:szCs w:val="24"/>
          <w:lang w:eastAsia="pl-PL"/>
        </w:rPr>
        <w:t>4</w:t>
      </w:r>
      <w:r w:rsidRPr="001B3426">
        <w:rPr>
          <w:rFonts w:ascii="Times New Roman" w:eastAsia="Times New Roman" w:hAnsi="Times New Roman" w:cs="Times New Roman"/>
          <w:sz w:val="24"/>
          <w:szCs w:val="24"/>
          <w:lang w:eastAsia="pl-PL"/>
        </w:rPr>
        <w:t xml:space="preserve"> r. poz. </w:t>
      </w:r>
      <w:r w:rsidR="00B50404">
        <w:rPr>
          <w:rFonts w:ascii="Times New Roman" w:eastAsia="Times New Roman" w:hAnsi="Times New Roman" w:cs="Times New Roman"/>
          <w:sz w:val="24"/>
          <w:szCs w:val="24"/>
          <w:lang w:eastAsia="pl-PL"/>
        </w:rPr>
        <w:t>197</w:t>
      </w:r>
      <w:r w:rsidRPr="001B3426">
        <w:rPr>
          <w:rFonts w:ascii="Times New Roman" w:eastAsia="Times New Roman" w:hAnsi="Times New Roman" w:cs="Times New Roman"/>
          <w:sz w:val="24"/>
          <w:szCs w:val="24"/>
          <w:lang w:eastAsia="pl-PL"/>
        </w:rPr>
        <w:t xml:space="preserve">, z późn. zm.),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ustawą o giełdach towarowych</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ind w:left="993"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2)  wysokość opłaty, o której mowa w art. 94</w:t>
      </w:r>
      <w:r w:rsidR="001C5E03">
        <w:rPr>
          <w:rFonts w:ascii="Times New Roman" w:eastAsia="Times New Roman" w:hAnsi="Times New Roman" w:cs="Times New Roman"/>
          <w:sz w:val="24"/>
          <w:szCs w:val="24"/>
          <w:lang w:eastAsia="pl-PL"/>
        </w:rPr>
        <w:t>c</w:t>
      </w:r>
      <w:r w:rsidRPr="001B3426">
        <w:rPr>
          <w:rFonts w:ascii="Times New Roman" w:eastAsia="Times New Roman" w:hAnsi="Times New Roman" w:cs="Times New Roman"/>
          <w:sz w:val="24"/>
          <w:szCs w:val="24"/>
          <w:lang w:eastAsia="pl-PL"/>
        </w:rPr>
        <w:t xml:space="preserve"> ustawy o ofercie publicznej;</w:t>
      </w:r>
    </w:p>
    <w:p w:rsidR="001B3426" w:rsidRPr="001B3426" w:rsidRDefault="001B3426" w:rsidP="001B3426">
      <w:pPr>
        <w:spacing w:before="120" w:after="0" w:line="240" w:lineRule="auto"/>
        <w:ind w:left="993"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3)   sposób wyliczania, warunki i terminy uiszczania opłat, o których mowa w pkt 1 i 2 oraz opłat, o których mowa w:</w:t>
      </w:r>
    </w:p>
    <w:p w:rsidR="001B3426" w:rsidRPr="001B3426" w:rsidRDefault="00FF13AD" w:rsidP="001B3426">
      <w:pPr>
        <w:numPr>
          <w:ilvl w:val="0"/>
          <w:numId w:val="38"/>
        </w:numPr>
        <w:spacing w:before="120" w:after="0" w:line="240" w:lineRule="auto"/>
        <w:ind w:firstLine="65"/>
        <w:contextualSpacing/>
        <w:jc w:val="both"/>
        <w:rPr>
          <w:rFonts w:ascii="Times New Roman" w:eastAsia="Times New Roman" w:hAnsi="Times New Roman" w:cs="Times New Roman"/>
          <w:sz w:val="24"/>
          <w:szCs w:val="24"/>
          <w:lang w:eastAsia="pl-PL"/>
        </w:rPr>
      </w:pPr>
      <w:hyperlink r:id="rId17" w:anchor="hiperlinkText.rpc?hiperlink=type=tresc:nro=Powszechny.443643:part=a163&amp;full=1" w:tgtFrame="_parent" w:history="1">
        <w:r w:rsidR="001B3426" w:rsidRPr="001B3426">
          <w:rPr>
            <w:rFonts w:ascii="Times New Roman" w:eastAsia="Times New Roman" w:hAnsi="Times New Roman" w:cs="Times New Roman"/>
            <w:sz w:val="24"/>
            <w:szCs w:val="24"/>
            <w:lang w:eastAsia="pl-PL"/>
          </w:rPr>
          <w:t>art. 163</w:t>
        </w:r>
      </w:hyperlink>
      <w:r w:rsidR="001B3426" w:rsidRPr="001B3426">
        <w:rPr>
          <w:rFonts w:ascii="Times New Roman" w:eastAsia="Times New Roman" w:hAnsi="Times New Roman" w:cs="Times New Roman"/>
          <w:sz w:val="24"/>
          <w:szCs w:val="24"/>
          <w:lang w:eastAsia="pl-PL"/>
        </w:rPr>
        <w:t xml:space="preserve"> ustawy o obrocie instrumentami finansowymi,</w:t>
      </w:r>
    </w:p>
    <w:p w:rsidR="001B3426" w:rsidRPr="001B3426" w:rsidRDefault="001B3426" w:rsidP="001B3426">
      <w:pPr>
        <w:numPr>
          <w:ilvl w:val="0"/>
          <w:numId w:val="38"/>
        </w:numPr>
        <w:spacing w:before="120" w:after="0" w:line="240" w:lineRule="auto"/>
        <w:ind w:firstLine="65"/>
        <w:contextualSpacing/>
        <w:jc w:val="both"/>
        <w:rPr>
          <w:rFonts w:ascii="Times New Roman" w:eastAsia="Times New Roman" w:hAnsi="Times New Roman" w:cs="Times New Roman"/>
          <w:sz w:val="24"/>
          <w:szCs w:val="24"/>
          <w:lang w:eastAsia="pl-PL"/>
        </w:rPr>
      </w:pPr>
      <w:r w:rsidRPr="001B3426">
        <w:t xml:space="preserve"> </w:t>
      </w:r>
      <w:hyperlink r:id="rId18" w:anchor="hiperlinkText.rpc?hiperlink=type=tresc:nro=Powszechny.831417:part=a26u2&amp;full=1" w:tgtFrame="_parent" w:history="1">
        <w:r w:rsidRPr="001B3426">
          <w:rPr>
            <w:rFonts w:ascii="Times New Roman" w:eastAsia="Times New Roman" w:hAnsi="Times New Roman" w:cs="Times New Roman"/>
            <w:sz w:val="24"/>
            <w:szCs w:val="24"/>
            <w:lang w:eastAsia="pl-PL"/>
          </w:rPr>
          <w:t xml:space="preserve">art. 26 </w:t>
        </w:r>
      </w:hyperlink>
      <w:r w:rsidRPr="001B3426">
        <w:rPr>
          <w:rFonts w:ascii="Times New Roman" w:eastAsia="Times New Roman" w:hAnsi="Times New Roman" w:cs="Times New Roman"/>
          <w:sz w:val="24"/>
          <w:szCs w:val="24"/>
          <w:lang w:eastAsia="pl-PL"/>
        </w:rPr>
        <w:t xml:space="preserve">ust. 2-7 ustawy o giełdach towarowych, </w:t>
      </w:r>
    </w:p>
    <w:p w:rsidR="001B3426" w:rsidRPr="001B3426" w:rsidRDefault="001B3426" w:rsidP="001B3426">
      <w:pPr>
        <w:numPr>
          <w:ilvl w:val="0"/>
          <w:numId w:val="38"/>
        </w:numPr>
        <w:spacing w:before="120" w:after="0" w:line="240" w:lineRule="auto"/>
        <w:ind w:firstLine="65"/>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art. 236 ust. 2a i 2b ustawy o funduszach inwestycyjnych, </w:t>
      </w:r>
    </w:p>
    <w:p w:rsidR="001B3426" w:rsidRPr="001B3426" w:rsidRDefault="001B3426" w:rsidP="001B3426">
      <w:pPr>
        <w:numPr>
          <w:ilvl w:val="0"/>
          <w:numId w:val="38"/>
        </w:numPr>
        <w:spacing w:before="120" w:after="0" w:line="240" w:lineRule="auto"/>
        <w:ind w:firstLine="65"/>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art. 94a ust. 1 </w:t>
      </w:r>
      <w:r w:rsidR="001C5E03">
        <w:rPr>
          <w:rFonts w:ascii="Times New Roman" w:eastAsia="Times New Roman" w:hAnsi="Times New Roman" w:cs="Times New Roman"/>
          <w:sz w:val="24"/>
          <w:szCs w:val="24"/>
          <w:lang w:eastAsia="pl-PL"/>
        </w:rPr>
        <w:t xml:space="preserve">i art. 94b ust. 1 </w:t>
      </w:r>
      <w:r w:rsidRPr="001B3426">
        <w:rPr>
          <w:rFonts w:ascii="Times New Roman" w:eastAsia="Times New Roman" w:hAnsi="Times New Roman" w:cs="Times New Roman"/>
          <w:sz w:val="24"/>
          <w:szCs w:val="24"/>
          <w:lang w:eastAsia="pl-PL"/>
        </w:rPr>
        <w:t>ustawy o ofercie publicznej;</w:t>
      </w:r>
      <w:r w:rsidR="001C5E03">
        <w:rPr>
          <w:rFonts w:ascii="Times New Roman" w:eastAsia="Times New Roman" w:hAnsi="Times New Roman" w:cs="Times New Roman"/>
          <w:sz w:val="24"/>
          <w:szCs w:val="24"/>
          <w:lang w:eastAsia="pl-PL"/>
        </w:rPr>
        <w:t xml:space="preserve"> </w:t>
      </w:r>
    </w:p>
    <w:p w:rsidR="001B3426" w:rsidRPr="001B3426" w:rsidRDefault="001B3426" w:rsidP="001B3426">
      <w:pPr>
        <w:spacing w:before="120" w:after="0" w:line="240" w:lineRule="auto"/>
        <w:ind w:left="993"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4)  szczegółowy sposób pokrywania kosztów nadzoru nad rynkiem kapitałowym, zwanych dalej „kosztami nadzoru”, z wpływów, o których mowa w </w:t>
      </w:r>
      <w:r w:rsidR="00B50404">
        <w:rPr>
          <w:rFonts w:ascii="Times New Roman" w:eastAsia="Times New Roman" w:hAnsi="Times New Roman" w:cs="Times New Roman"/>
          <w:sz w:val="24"/>
          <w:szCs w:val="24"/>
          <w:lang w:eastAsia="pl-PL"/>
        </w:rPr>
        <w:t xml:space="preserve">art. 17 </w:t>
      </w:r>
      <w:r w:rsidRPr="001B3426">
        <w:rPr>
          <w:rFonts w:ascii="Times New Roman" w:eastAsia="Times New Roman" w:hAnsi="Times New Roman" w:cs="Times New Roman"/>
          <w:sz w:val="24"/>
          <w:szCs w:val="24"/>
          <w:lang w:eastAsia="pl-PL"/>
        </w:rPr>
        <w:t xml:space="preserve">ust. 1 ustawy z dnia 29 lipca 2005 r. o nadzorze nad rynkiem kapitałowym, zwanej dalej </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ustawą o nadzorze nad rynkiem kapitałowym</w:t>
      </w:r>
      <w:r w:rsidR="00F4180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w:t>
      </w:r>
    </w:p>
    <w:p w:rsidR="00D10C90" w:rsidRPr="00071C01" w:rsidRDefault="00D10C90" w:rsidP="00D10C90">
      <w:pPr>
        <w:spacing w:before="120" w:after="0" w:line="240" w:lineRule="auto"/>
        <w:ind w:firstLine="426"/>
        <w:jc w:val="both"/>
        <w:rPr>
          <w:rFonts w:ascii="Times New Roman" w:eastAsia="Times New Roman" w:hAnsi="Times New Roman" w:cs="Times New Roman"/>
          <w:bCs/>
          <w:sz w:val="24"/>
          <w:szCs w:val="24"/>
          <w:lang w:eastAsia="pl-PL"/>
        </w:rPr>
      </w:pPr>
      <w:r w:rsidRPr="00071C01">
        <w:rPr>
          <w:rFonts w:ascii="Times New Roman" w:eastAsia="Times New Roman" w:hAnsi="Times New Roman" w:cs="Times New Roman"/>
          <w:b/>
          <w:bCs/>
          <w:sz w:val="24"/>
          <w:szCs w:val="24"/>
          <w:lang w:eastAsia="pl-PL"/>
        </w:rPr>
        <w:t xml:space="preserve">§ 2. </w:t>
      </w:r>
      <w:r w:rsidR="00820B39">
        <w:rPr>
          <w:rFonts w:ascii="Times New Roman" w:eastAsia="Times New Roman" w:hAnsi="Times New Roman" w:cs="Times New Roman"/>
          <w:bCs/>
          <w:sz w:val="24"/>
          <w:szCs w:val="24"/>
          <w:lang w:eastAsia="pl-PL"/>
        </w:rPr>
        <w:t>Określenia zdefiniowane</w:t>
      </w:r>
      <w:r>
        <w:rPr>
          <w:rFonts w:ascii="Times New Roman" w:eastAsia="Times New Roman" w:hAnsi="Times New Roman" w:cs="Times New Roman"/>
          <w:bCs/>
          <w:sz w:val="24"/>
          <w:szCs w:val="24"/>
          <w:lang w:eastAsia="pl-PL"/>
        </w:rPr>
        <w:t xml:space="preserve"> w ustawie o obrocie instrumentami finansowymi, ustawie o giełdach towarowych, ustawie o funduszach inwestycyjnych oraz ustawie o ofercie publicznej używa</w:t>
      </w:r>
      <w:r w:rsidR="00820B39">
        <w:rPr>
          <w:rFonts w:ascii="Times New Roman" w:eastAsia="Times New Roman" w:hAnsi="Times New Roman" w:cs="Times New Roman"/>
          <w:bCs/>
          <w:sz w:val="24"/>
          <w:szCs w:val="24"/>
          <w:lang w:eastAsia="pl-PL"/>
        </w:rPr>
        <w:t>ne są</w:t>
      </w:r>
      <w:r>
        <w:rPr>
          <w:rFonts w:ascii="Times New Roman" w:eastAsia="Times New Roman" w:hAnsi="Times New Roman" w:cs="Times New Roman"/>
          <w:bCs/>
          <w:sz w:val="24"/>
          <w:szCs w:val="24"/>
          <w:lang w:eastAsia="pl-PL"/>
        </w:rPr>
        <w:t xml:space="preserve"> w niniejszym rozporządzeniu w znaczeniu ustalonym w tych ustawach.</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3</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Równowartość w złotych kwot opłat ustala się przy zastosowaniu średniego kursu euro ogłaszanego przez Narodowy Bank Polski </w:t>
      </w:r>
      <w:r w:rsidR="00076ED2">
        <w:rPr>
          <w:rFonts w:ascii="Times New Roman" w:eastAsia="Times New Roman" w:hAnsi="Times New Roman" w:cs="Times New Roman"/>
          <w:sz w:val="24"/>
          <w:szCs w:val="24"/>
          <w:lang w:eastAsia="pl-PL"/>
        </w:rPr>
        <w:t xml:space="preserve">odpowiednio </w:t>
      </w:r>
      <w:r w:rsidRPr="001B3426">
        <w:rPr>
          <w:rFonts w:ascii="Times New Roman" w:eastAsia="Times New Roman" w:hAnsi="Times New Roman" w:cs="Times New Roman"/>
          <w:sz w:val="24"/>
          <w:szCs w:val="24"/>
          <w:lang w:eastAsia="pl-PL"/>
        </w:rPr>
        <w:t>na dzień:</w:t>
      </w:r>
    </w:p>
    <w:p w:rsidR="00076ED2" w:rsidRPr="00071C01" w:rsidRDefault="001B3426" w:rsidP="00071C01">
      <w:pPr>
        <w:pStyle w:val="Akapitzlist"/>
        <w:numPr>
          <w:ilvl w:val="0"/>
          <w:numId w:val="42"/>
        </w:numPr>
        <w:spacing w:before="120" w:after="0" w:line="240" w:lineRule="auto"/>
        <w:jc w:val="both"/>
        <w:rPr>
          <w:rFonts w:ascii="Times New Roman" w:eastAsia="Times New Roman" w:hAnsi="Times New Roman" w:cs="Times New Roman"/>
          <w:sz w:val="24"/>
          <w:szCs w:val="24"/>
          <w:lang w:eastAsia="pl-PL"/>
        </w:rPr>
      </w:pPr>
      <w:r w:rsidRPr="00071C01">
        <w:rPr>
          <w:rFonts w:ascii="Times New Roman" w:eastAsia="Times New Roman" w:hAnsi="Times New Roman" w:cs="Times New Roman"/>
          <w:sz w:val="24"/>
          <w:szCs w:val="24"/>
          <w:lang w:eastAsia="pl-PL"/>
        </w:rPr>
        <w:t>wydania decyzji udzielającej zezwolenia albo zgody</w:t>
      </w:r>
      <w:r w:rsidR="00871583">
        <w:rPr>
          <w:rFonts w:ascii="Times New Roman" w:eastAsia="Times New Roman" w:hAnsi="Times New Roman" w:cs="Times New Roman"/>
          <w:sz w:val="24"/>
          <w:szCs w:val="24"/>
          <w:lang w:eastAsia="pl-PL"/>
        </w:rPr>
        <w:t>;</w:t>
      </w:r>
      <w:r w:rsidR="00076ED2" w:rsidRPr="00071C01">
        <w:rPr>
          <w:rFonts w:ascii="Times New Roman" w:eastAsia="Times New Roman" w:hAnsi="Times New Roman" w:cs="Times New Roman"/>
          <w:sz w:val="24"/>
          <w:szCs w:val="24"/>
          <w:lang w:eastAsia="pl-PL"/>
        </w:rPr>
        <w:t xml:space="preserve"> </w:t>
      </w:r>
    </w:p>
    <w:p w:rsidR="001B3426" w:rsidRPr="00071C01" w:rsidRDefault="00076ED2" w:rsidP="00071C01">
      <w:pPr>
        <w:pStyle w:val="Akapitzlist"/>
        <w:numPr>
          <w:ilvl w:val="0"/>
          <w:numId w:val="42"/>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wydania </w:t>
      </w:r>
      <w:r w:rsidRPr="00071C01">
        <w:rPr>
          <w:rFonts w:ascii="Times New Roman" w:eastAsia="Times New Roman" w:hAnsi="Times New Roman" w:cs="Times New Roman"/>
          <w:sz w:val="24"/>
          <w:szCs w:val="24"/>
          <w:lang w:eastAsia="pl-PL"/>
        </w:rPr>
        <w:t xml:space="preserve">decyzji, o których </w:t>
      </w:r>
      <w:r>
        <w:rPr>
          <w:rFonts w:ascii="Times New Roman" w:eastAsia="Times New Roman" w:hAnsi="Times New Roman" w:cs="Times New Roman"/>
          <w:sz w:val="24"/>
          <w:szCs w:val="24"/>
          <w:lang w:eastAsia="pl-PL"/>
        </w:rPr>
        <w:t xml:space="preserve">mowa w </w:t>
      </w:r>
      <w:r w:rsidRPr="00871583">
        <w:rPr>
          <w:rFonts w:ascii="Times New Roman" w:eastAsia="Times New Roman" w:hAnsi="Times New Roman" w:cs="Times New Roman"/>
          <w:sz w:val="24"/>
          <w:szCs w:val="24"/>
          <w:lang w:eastAsia="pl-PL"/>
        </w:rPr>
        <w:t>§ 1</w:t>
      </w:r>
      <w:r w:rsidR="00871583" w:rsidRPr="008715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ust. 3</w:t>
      </w:r>
      <w:r w:rsidR="001B3426" w:rsidRPr="00071C01">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w:t>
      </w:r>
      <w:r w:rsidR="00076ED2">
        <w:rPr>
          <w:rFonts w:ascii="Times New Roman" w:eastAsia="Times New Roman" w:hAnsi="Times New Roman" w:cs="Times New Roman"/>
          <w:sz w:val="24"/>
          <w:szCs w:val="24"/>
          <w:lang w:eastAsia="pl-PL"/>
        </w:rPr>
        <w:t>3</w:t>
      </w:r>
      <w:r w:rsidRPr="001B3426">
        <w:rPr>
          <w:rFonts w:ascii="Times New Roman" w:eastAsia="Times New Roman" w:hAnsi="Times New Roman" w:cs="Times New Roman"/>
          <w:sz w:val="24"/>
          <w:szCs w:val="24"/>
          <w:lang w:eastAsia="pl-PL"/>
        </w:rPr>
        <w:t>)   dokonania wpisu do rejestru;</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w:t>
      </w:r>
      <w:r w:rsidR="00076ED2">
        <w:rPr>
          <w:rFonts w:ascii="Times New Roman" w:eastAsia="Times New Roman" w:hAnsi="Times New Roman" w:cs="Times New Roman"/>
          <w:sz w:val="24"/>
          <w:szCs w:val="24"/>
          <w:lang w:eastAsia="pl-PL"/>
        </w:rPr>
        <w:t>4</w:t>
      </w:r>
      <w:r w:rsidRPr="001B3426">
        <w:rPr>
          <w:rFonts w:ascii="Times New Roman" w:eastAsia="Times New Roman" w:hAnsi="Times New Roman" w:cs="Times New Roman"/>
          <w:sz w:val="24"/>
          <w:szCs w:val="24"/>
          <w:lang w:eastAsia="pl-PL"/>
        </w:rPr>
        <w:t xml:space="preserve">)   poprzedzający datę przekazania Komisji zawiadomienia, o którym mowa w </w:t>
      </w:r>
      <w:hyperlink r:id="rId19" w:anchor="hiperlinkText.rpc?hiperlink=type=tresc:nro=Powszechny.799229:part=a10u4&amp;full=1" w:tgtFrame="_parent" w:history="1">
        <w:r w:rsidRPr="001B3426">
          <w:rPr>
            <w:rFonts w:ascii="Times New Roman" w:eastAsia="Times New Roman" w:hAnsi="Times New Roman" w:cs="Times New Roman"/>
            <w:sz w:val="24"/>
            <w:szCs w:val="24"/>
            <w:lang w:eastAsia="pl-PL"/>
          </w:rPr>
          <w:t>art. 10 ust. 4</w:t>
        </w:r>
      </w:hyperlink>
      <w:r w:rsidRPr="001B3426">
        <w:rPr>
          <w:rFonts w:ascii="Times New Roman" w:eastAsia="Times New Roman" w:hAnsi="Times New Roman" w:cs="Times New Roman"/>
          <w:sz w:val="24"/>
          <w:szCs w:val="24"/>
          <w:lang w:eastAsia="pl-PL"/>
        </w:rPr>
        <w:t xml:space="preserve"> ustawy o ofercie publicznej;</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w:t>
      </w:r>
      <w:r w:rsidR="00076ED2">
        <w:rPr>
          <w:rFonts w:ascii="Times New Roman" w:eastAsia="Times New Roman" w:hAnsi="Times New Roman" w:cs="Times New Roman"/>
          <w:sz w:val="24"/>
          <w:szCs w:val="24"/>
          <w:lang w:eastAsia="pl-PL"/>
        </w:rPr>
        <w:t>5</w:t>
      </w:r>
      <w:r w:rsidRPr="001B3426">
        <w:rPr>
          <w:rFonts w:ascii="Times New Roman" w:eastAsia="Times New Roman" w:hAnsi="Times New Roman" w:cs="Times New Roman"/>
          <w:sz w:val="24"/>
          <w:szCs w:val="24"/>
          <w:lang w:eastAsia="pl-PL"/>
        </w:rPr>
        <w:t xml:space="preserve">)   upływu terminu 12 miesięcy, o którym mowa w </w:t>
      </w:r>
      <w:hyperlink r:id="rId20" w:anchor="hiperlinkText.rpc?hiperlink=type=tresc:nro=Powszechny.799229:part=a94u3&amp;full=1" w:tgtFrame="_parent" w:history="1">
        <w:r w:rsidRPr="001B3426">
          <w:rPr>
            <w:rFonts w:ascii="Times New Roman" w:eastAsia="Times New Roman" w:hAnsi="Times New Roman" w:cs="Times New Roman"/>
            <w:sz w:val="24"/>
            <w:szCs w:val="24"/>
            <w:lang w:eastAsia="pl-PL"/>
          </w:rPr>
          <w:t>art. 94 ust. 3</w:t>
        </w:r>
      </w:hyperlink>
      <w:r w:rsidRPr="001B3426">
        <w:rPr>
          <w:rFonts w:ascii="Times New Roman" w:eastAsia="Times New Roman" w:hAnsi="Times New Roman" w:cs="Times New Roman"/>
          <w:sz w:val="24"/>
          <w:szCs w:val="24"/>
          <w:lang w:eastAsia="pl-PL"/>
        </w:rPr>
        <w:t xml:space="preserve"> ustawy o ofercie publicznej;</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5)  na który ustala się wartość stanowiącą podstawę do naliczenia należnej opłaty.</w:t>
      </w:r>
    </w:p>
    <w:p w:rsidR="001B3426" w:rsidRPr="001B3426" w:rsidRDefault="001B3426" w:rsidP="001B3426">
      <w:pPr>
        <w:tabs>
          <w:tab w:val="left" w:pos="1736"/>
        </w:tabs>
        <w:spacing w:before="120" w:after="0" w:line="240" w:lineRule="auto"/>
        <w:ind w:left="426" w:firstLine="141"/>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Wartość należnej opłaty w przypadkach</w:t>
      </w:r>
      <w:r w:rsidR="00CA377E">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 xml:space="preserve"> o których mowa w </w:t>
      </w:r>
      <w:r w:rsidRPr="001F0873">
        <w:rPr>
          <w:rFonts w:ascii="Times New Roman" w:eastAsia="Times New Roman" w:hAnsi="Times New Roman" w:cs="Times New Roman"/>
          <w:sz w:val="24"/>
          <w:szCs w:val="24"/>
          <w:lang w:eastAsia="pl-PL"/>
        </w:rPr>
        <w:t>§ 2</w:t>
      </w:r>
      <w:r w:rsidR="00871583">
        <w:rPr>
          <w:rFonts w:ascii="Times New Roman" w:eastAsia="Times New Roman" w:hAnsi="Times New Roman" w:cs="Times New Roman"/>
          <w:sz w:val="24"/>
          <w:szCs w:val="24"/>
          <w:lang w:eastAsia="pl-PL"/>
        </w:rPr>
        <w:t>4</w:t>
      </w:r>
      <w:r w:rsidRPr="001F0873">
        <w:rPr>
          <w:rFonts w:ascii="Times New Roman" w:eastAsia="Times New Roman" w:hAnsi="Times New Roman" w:cs="Times New Roman"/>
          <w:sz w:val="24"/>
          <w:szCs w:val="24"/>
          <w:lang w:eastAsia="pl-PL"/>
        </w:rPr>
        <w:t xml:space="preserve"> ust. 5</w:t>
      </w:r>
      <w:r w:rsidR="00CA377E" w:rsidRPr="001F0873">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 xml:space="preserve"> ustala się przy zastosowaniu kursu z dnia poprzedzającego </w:t>
      </w:r>
      <w:r w:rsidR="001F0873">
        <w:rPr>
          <w:rFonts w:ascii="Times New Roman" w:eastAsia="Times New Roman" w:hAnsi="Times New Roman" w:cs="Times New Roman"/>
          <w:sz w:val="24"/>
          <w:szCs w:val="24"/>
          <w:lang w:eastAsia="pl-PL"/>
        </w:rPr>
        <w:t xml:space="preserve">dzień </w:t>
      </w:r>
      <w:r w:rsidRPr="001B3426">
        <w:rPr>
          <w:rFonts w:ascii="Times New Roman" w:eastAsia="Times New Roman" w:hAnsi="Times New Roman" w:cs="Times New Roman"/>
          <w:sz w:val="24"/>
          <w:szCs w:val="24"/>
          <w:lang w:eastAsia="pl-PL"/>
        </w:rPr>
        <w:t>dokonania opłaty.</w:t>
      </w:r>
    </w:p>
    <w:p w:rsidR="001B3426" w:rsidRPr="001B3426" w:rsidRDefault="001B3426" w:rsidP="001B3426">
      <w:pPr>
        <w:spacing w:before="120" w:after="0" w:line="240" w:lineRule="auto"/>
        <w:ind w:firstLine="426"/>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b/>
          <w:sz w:val="24"/>
          <w:szCs w:val="24"/>
          <w:lang w:eastAsia="pl-PL"/>
        </w:rPr>
        <w:t> </w:t>
      </w:r>
      <w:r w:rsidR="00871583">
        <w:rPr>
          <w:rFonts w:ascii="Times New Roman" w:eastAsia="Times New Roman" w:hAnsi="Times New Roman" w:cs="Times New Roman"/>
          <w:b/>
          <w:sz w:val="24"/>
          <w:szCs w:val="24"/>
          <w:lang w:eastAsia="pl-PL"/>
        </w:rPr>
        <w:t>4</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Opłaty, o których mowa w przepisach rozporządzenia, uiszcza się na rachunek bankowy urzędu obsługującego Komisję.</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5</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Udzielenie na podstawie przepisów </w:t>
      </w:r>
      <w:hyperlink r:id="rId21" w:anchor="hiperlinkText.rpc?hiperlink=type=tresc:nro=Powszechny.44364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obrocie instrumentami finansowymi:</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  1) zezwolenia na prowadzenie giełdy - podlega opłacie w wysokości równowartości w złotych 4.500 euro;</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2) zezwolenia na prowadzenie rynku pozagiełdowego - podlega opłacie w wysokości równowartości w złotych 4.500 euro;</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3)  zezwolenia na prowadzenie izby rozliczeniowej - podlega opłacie w wysokości równowartości w złotych 4.500 euro;</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4)  zezwolenia na prowadzenie izby rozrachunkowej - podlega opłacie w wysokości równowartości w złotych 4.500 euro;</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5)   zezwolenia na prowadzenie działalności maklerskiej w zakresie:</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a)  przyjmowania i przekazywania zleceń nabycia lub zbycia instrumentów finansowych - podlega opłacie w wysokości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b)  wykonywania zleceń nabycia lub zbycia instrumentów finansowych na rachunek dającego zlecenie - podlega opłacie w wysokości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c)  nabywania lub zbywania na własny rachunek instrumentów finansowych - podlega opłacie w wysokości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  zarządzania portfelami, w których skład wchodzi jeden lub większa liczba instrumentów finansowych - podlega opłacie w wysokości równowartości w złotych 2.500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e)  doradztwa inwestycyjnego - podlega opłacie w wysokości równowartości w złotych 2.000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f)  oferowania instrumentów finansowych - podlega opłacie w wysokości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  świadczenia usług w wykonaniu zawartych umów o subemisje inwestycyjne i usługowe lub zawierania i wykonywania innych umów o podobnym charakterze, jeżeli ich przedmiotem są instrumenty finansowe -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h)  organizowania alternatywnego systemu obrotu - podlega opłacie w wysokości równowartości w złotych 4.500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i)  przechowywania lub rejestrowania instrumentów finansowych, w tym prowadzenia rachunków papierów wartościowych i rachunków zbiorczych  oraz prowadzenia rachunków pieniężnych - podlega opłacie w wysokości równowartości w złotych 1.000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j)  udzielania pożyczek pieniężnych w celu dokonania transakcji, której przedmiotem jest jeden lub większa liczba instrumentów finansowych, jeżeli transakcja ma być dokonana za pośrednictwem firmy inwestycyjnej udzielającej pożyczki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  doradztwa dla przedsiębiorstw w zakresie struktury kapitałowej, strategii przedsiębiorstwa lub innych zagadnień związanych z taką strukturą lub strategią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l)  doradztwa i innych usług w zakresie łączenia, podziału oraz przejmowania przedsiębiorstw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m)  wymiany walutowej, w przypadku gdy jest to związane z działalnością maklerską w zakresie wskazanym w </w:t>
      </w:r>
      <w:hyperlink r:id="rId22" w:anchor="hiperlinkText.rpc?hiperlink=type=tresc:nro=Powszechny.443643:part=a69u2&amp;full=1" w:tgtFrame="_parent" w:history="1">
        <w:r w:rsidRPr="001B3426">
          <w:rPr>
            <w:rFonts w:ascii="Times New Roman" w:eastAsia="Times New Roman" w:hAnsi="Times New Roman" w:cs="Times New Roman"/>
            <w:sz w:val="24"/>
            <w:szCs w:val="24"/>
            <w:lang w:eastAsia="pl-PL"/>
          </w:rPr>
          <w:t>art. 69 ust. 2</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n)  sporządzania analiz inwestycyjnych, analiz finansowych oraz innych rekomendacji o charakterze ogólnym, dotyczących transakcji w zakresie instrumentów finansowych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o)  świadczenia usług dodatkowych związanych z subemisją usługową lub inwestycyjną - podlega opłacie w wysokości równowartości w złotych 500 euro,</w:t>
      </w:r>
    </w:p>
    <w:p w:rsidR="001B3426" w:rsidRPr="001B3426" w:rsidRDefault="001B3426" w:rsidP="001B3426">
      <w:pPr>
        <w:tabs>
          <w:tab w:val="left" w:pos="993"/>
        </w:tabs>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p)  wykonywania czynności, o których mowa w lit. a-o, których przedmiotem są instrumenty bazowe instrumentów pochodnych, wskazanych w </w:t>
      </w:r>
      <w:hyperlink r:id="rId23" w:anchor="hiperlinkText.rpc?hiperlink=type=tresc:nro=Powszechny.443643:part=a2u1p2ld&amp;full=1" w:tgtFrame="_parent" w:history="1">
        <w:r w:rsidRPr="001B3426">
          <w:rPr>
            <w:rFonts w:ascii="Times New Roman" w:eastAsia="Times New Roman" w:hAnsi="Times New Roman" w:cs="Times New Roman"/>
            <w:sz w:val="24"/>
            <w:szCs w:val="24"/>
            <w:lang w:eastAsia="pl-PL"/>
          </w:rPr>
          <w:t>art. 2 ust. 1 pkt 2 lit. d-f</w:t>
        </w:r>
      </w:hyperlink>
      <w:r w:rsidRPr="001B3426">
        <w:rPr>
          <w:rFonts w:ascii="Times New Roman" w:eastAsia="Times New Roman" w:hAnsi="Times New Roman" w:cs="Times New Roman"/>
          <w:sz w:val="24"/>
          <w:szCs w:val="24"/>
          <w:lang w:eastAsia="pl-PL"/>
        </w:rPr>
        <w:t xml:space="preserve"> oraz </w:t>
      </w:r>
      <w:hyperlink r:id="rId24" w:anchor="hiperlinkText.rpc?hiperlink=type=tresc:nro=Powszechny.443643:part=a2u1p2li&amp;full=1" w:tgtFrame="_parent" w:history="1">
        <w:r w:rsidRPr="001B3426">
          <w:rPr>
            <w:rFonts w:ascii="Times New Roman" w:eastAsia="Times New Roman" w:hAnsi="Times New Roman" w:cs="Times New Roman"/>
            <w:sz w:val="24"/>
            <w:szCs w:val="24"/>
            <w:u w:val="single"/>
            <w:lang w:eastAsia="pl-PL"/>
          </w:rPr>
          <w:t>i</w:t>
        </w:r>
      </w:hyperlink>
      <w:r w:rsidRPr="001B3426">
        <w:rPr>
          <w:rFonts w:ascii="Times New Roman" w:eastAsia="Times New Roman" w:hAnsi="Times New Roman" w:cs="Times New Roman"/>
          <w:sz w:val="24"/>
          <w:szCs w:val="24"/>
          <w:lang w:eastAsia="pl-PL"/>
        </w:rPr>
        <w:t xml:space="preserve"> ustawy o obrocie instrumentami finansowymi, jeżeli czynności te pozostają w związku z działalnością maklerską - podlega opłacie w wysokości równowartości w złotych 500 euro;</w:t>
      </w:r>
    </w:p>
    <w:p w:rsidR="001B3426" w:rsidRPr="001B3426" w:rsidRDefault="001B3426" w:rsidP="001B3426">
      <w:pPr>
        <w:spacing w:before="120" w:after="0" w:line="240" w:lineRule="auto"/>
        <w:ind w:left="1276"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6)  zezwolenia na prowadzenie przez bank powierniczy rachunków papierów wartościowych - podlega opłacie w wysokości równowartości w złotych 4.500 euro.</w:t>
      </w:r>
    </w:p>
    <w:p w:rsidR="001B3426" w:rsidRPr="001B3426" w:rsidRDefault="001B3426" w:rsidP="001B3426">
      <w:pPr>
        <w:spacing w:before="120" w:after="0" w:line="240" w:lineRule="auto"/>
        <w:ind w:left="993"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W przypadku gdy wniosek o udzielenie zezwolenia na prowadzenie działalności maklerskiej dotyczy więcej niż jednej czynności, o których mowa w ust. 1 pkt 5, łączna wysokość pobieranych opłat nie może być wyższa niż równowartość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6</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1. Złożenie zawiadomienia o zamiarze prowadzenia przez zagraniczną firmę inwestycyjną działalności maklerskiej na terytorium Rzeczypospolitej Polskiej w formie oddziału podlega opłacie w łącznej wysokości nie większej niż równowartość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2. Do ustalenia wartości opłaty, o której mowa w ust. 1 odpowiednio stosuje się przepisy </w:t>
      </w:r>
      <w:r w:rsidRPr="00EE4218">
        <w:rPr>
          <w:rFonts w:ascii="Times New Roman" w:eastAsia="Times New Roman" w:hAnsi="Times New Roman" w:cs="Times New Roman"/>
          <w:sz w:val="24"/>
          <w:szCs w:val="24"/>
          <w:lang w:eastAsia="pl-PL"/>
        </w:rPr>
        <w:t xml:space="preserve">§ </w:t>
      </w:r>
      <w:r w:rsidR="003B06A7">
        <w:rPr>
          <w:rFonts w:ascii="Times New Roman" w:eastAsia="Times New Roman" w:hAnsi="Times New Roman" w:cs="Times New Roman"/>
          <w:sz w:val="24"/>
          <w:szCs w:val="24"/>
          <w:lang w:eastAsia="pl-PL"/>
        </w:rPr>
        <w:t>5</w:t>
      </w:r>
      <w:r w:rsidRPr="00EE4218">
        <w:rPr>
          <w:rFonts w:ascii="Times New Roman" w:eastAsia="Times New Roman" w:hAnsi="Times New Roman" w:cs="Times New Roman"/>
          <w:sz w:val="24"/>
          <w:szCs w:val="24"/>
          <w:lang w:eastAsia="pl-PL"/>
        </w:rPr>
        <w:t xml:space="preserve"> ust. 1 pkt 5.</w:t>
      </w:r>
    </w:p>
    <w:p w:rsidR="00820B39" w:rsidRDefault="00820B39" w:rsidP="001B3426">
      <w:pPr>
        <w:spacing w:before="120" w:after="0" w:line="240" w:lineRule="auto"/>
        <w:ind w:firstLine="426"/>
        <w:jc w:val="both"/>
        <w:rPr>
          <w:rFonts w:ascii="Times New Roman" w:eastAsia="Times New Roman" w:hAnsi="Times New Roman" w:cs="Times New Roman"/>
          <w:b/>
          <w:bCs/>
          <w:sz w:val="24"/>
          <w:szCs w:val="24"/>
          <w:lang w:eastAsia="pl-PL"/>
        </w:rPr>
      </w:pPr>
    </w:p>
    <w:p w:rsidR="00377560" w:rsidRDefault="00871583" w:rsidP="00071C01">
      <w:pPr>
        <w:spacing w:after="120"/>
        <w:ind w:firstLine="425"/>
        <w:jc w:val="both"/>
        <w:rPr>
          <w:rFonts w:ascii="Times New Roman" w:hAnsi="Times New Roman" w:cs="Times New Roman"/>
          <w:sz w:val="24"/>
          <w:szCs w:val="24"/>
        </w:rPr>
      </w:pPr>
      <w:r w:rsidRPr="00871583">
        <w:rPr>
          <w:rFonts w:ascii="Times New Roman" w:hAnsi="Times New Roman" w:cs="Times New Roman"/>
          <w:b/>
          <w:sz w:val="24"/>
          <w:szCs w:val="24"/>
        </w:rPr>
        <w:t xml:space="preserve">§ </w:t>
      </w:r>
      <w:r>
        <w:rPr>
          <w:rFonts w:ascii="Times New Roman" w:hAnsi="Times New Roman" w:cs="Times New Roman"/>
          <w:b/>
          <w:sz w:val="24"/>
          <w:szCs w:val="24"/>
        </w:rPr>
        <w:t>7</w:t>
      </w:r>
      <w:r w:rsidR="00377560" w:rsidRPr="00071C01">
        <w:rPr>
          <w:rFonts w:ascii="Times New Roman" w:hAnsi="Times New Roman" w:cs="Times New Roman"/>
          <w:b/>
          <w:sz w:val="24"/>
          <w:szCs w:val="24"/>
        </w:rPr>
        <w:t>.</w:t>
      </w:r>
      <w:r w:rsidR="00820B39">
        <w:rPr>
          <w:rFonts w:ascii="Times New Roman" w:hAnsi="Times New Roman" w:cs="Times New Roman"/>
          <w:sz w:val="24"/>
          <w:szCs w:val="24"/>
        </w:rPr>
        <w:t xml:space="preserve"> </w:t>
      </w:r>
      <w:r w:rsidR="00377560" w:rsidRPr="00377560">
        <w:rPr>
          <w:rFonts w:ascii="Times New Roman" w:hAnsi="Times New Roman" w:cs="Times New Roman"/>
          <w:sz w:val="24"/>
          <w:szCs w:val="24"/>
        </w:rPr>
        <w:t>Udzielenie na podstawie przepisów rozporządzenia Nr 648/</w:t>
      </w:r>
      <w:r w:rsidR="00377560">
        <w:rPr>
          <w:rFonts w:ascii="Times New Roman" w:hAnsi="Times New Roman" w:cs="Times New Roman"/>
          <w:sz w:val="24"/>
          <w:szCs w:val="24"/>
        </w:rPr>
        <w:t>2012:</w:t>
      </w:r>
    </w:p>
    <w:p w:rsidR="00377560" w:rsidRPr="00071C01" w:rsidRDefault="00377560" w:rsidP="00071C01">
      <w:pPr>
        <w:pStyle w:val="Akapitzlist"/>
        <w:numPr>
          <w:ilvl w:val="0"/>
          <w:numId w:val="41"/>
        </w:numPr>
        <w:ind w:left="709" w:hanging="283"/>
        <w:jc w:val="both"/>
        <w:rPr>
          <w:rFonts w:ascii="Times New Roman" w:hAnsi="Times New Roman" w:cs="Times New Roman"/>
          <w:sz w:val="24"/>
          <w:szCs w:val="24"/>
        </w:rPr>
      </w:pPr>
      <w:r w:rsidRPr="00071C01">
        <w:rPr>
          <w:rFonts w:ascii="Times New Roman" w:hAnsi="Times New Roman" w:cs="Times New Roman"/>
          <w:sz w:val="24"/>
          <w:szCs w:val="24"/>
        </w:rPr>
        <w:t>zezwolenia na świadczenie usług rozliczeniowych jako CCP</w:t>
      </w:r>
      <w:r w:rsidR="00465F36" w:rsidRPr="00871583">
        <w:rPr>
          <w:rFonts w:ascii="Times New Roman" w:hAnsi="Times New Roman" w:cs="Times New Roman"/>
          <w:sz w:val="24"/>
          <w:szCs w:val="24"/>
        </w:rPr>
        <w:t>,</w:t>
      </w:r>
      <w:r w:rsidR="00465F36">
        <w:rPr>
          <w:rFonts w:ascii="Times New Roman" w:hAnsi="Times New Roman" w:cs="Times New Roman"/>
          <w:sz w:val="24"/>
          <w:szCs w:val="24"/>
        </w:rPr>
        <w:t xml:space="preserve"> w rozumieniu art. 2 pkt 1</w:t>
      </w:r>
      <w:r w:rsidRPr="00071C01">
        <w:rPr>
          <w:rFonts w:ascii="Times New Roman" w:hAnsi="Times New Roman" w:cs="Times New Roman"/>
          <w:sz w:val="24"/>
          <w:szCs w:val="24"/>
        </w:rPr>
        <w:t xml:space="preserve"> </w:t>
      </w:r>
      <w:r w:rsidR="00465F36">
        <w:rPr>
          <w:rFonts w:ascii="Times New Roman" w:hAnsi="Times New Roman" w:cs="Times New Roman"/>
          <w:sz w:val="24"/>
          <w:szCs w:val="24"/>
        </w:rPr>
        <w:t xml:space="preserve">tego rozporządzenia </w:t>
      </w:r>
      <w:r w:rsidR="00844CC4">
        <w:rPr>
          <w:rFonts w:ascii="Times New Roman" w:hAnsi="Times New Roman" w:cs="Times New Roman"/>
          <w:sz w:val="24"/>
          <w:szCs w:val="24"/>
        </w:rPr>
        <w:t>–</w:t>
      </w:r>
      <w:r w:rsidRPr="00071C01">
        <w:rPr>
          <w:rFonts w:ascii="Times New Roman" w:hAnsi="Times New Roman" w:cs="Times New Roman"/>
          <w:sz w:val="24"/>
          <w:szCs w:val="24"/>
        </w:rPr>
        <w:t xml:space="preserve"> podlega opłacie w wysokości równowartości w złotych 4.500 euro;</w:t>
      </w:r>
    </w:p>
    <w:p w:rsidR="00844CC4" w:rsidRDefault="00377560" w:rsidP="00071C01">
      <w:pPr>
        <w:pStyle w:val="Akapitzlist"/>
        <w:numPr>
          <w:ilvl w:val="0"/>
          <w:numId w:val="41"/>
        </w:numPr>
        <w:ind w:left="709" w:hanging="283"/>
        <w:jc w:val="both"/>
        <w:rPr>
          <w:rFonts w:ascii="Times New Roman" w:hAnsi="Times New Roman" w:cs="Times New Roman"/>
          <w:sz w:val="24"/>
          <w:szCs w:val="24"/>
        </w:rPr>
      </w:pPr>
      <w:r w:rsidRPr="00071C01">
        <w:rPr>
          <w:rFonts w:ascii="Times New Roman" w:hAnsi="Times New Roman" w:cs="Times New Roman"/>
          <w:sz w:val="24"/>
          <w:szCs w:val="24"/>
        </w:rPr>
        <w:t>rozszerzenie zakresu wydanego zezwolenia na świadczenie usług rozliczeniowych jako CCP</w:t>
      </w:r>
      <w:r w:rsidR="00465F36">
        <w:rPr>
          <w:rFonts w:ascii="Times New Roman" w:hAnsi="Times New Roman" w:cs="Times New Roman"/>
          <w:sz w:val="24"/>
          <w:szCs w:val="24"/>
        </w:rPr>
        <w:t>,</w:t>
      </w:r>
      <w:r w:rsidRPr="00071C01">
        <w:rPr>
          <w:rFonts w:ascii="Times New Roman" w:hAnsi="Times New Roman" w:cs="Times New Roman"/>
          <w:sz w:val="24"/>
          <w:szCs w:val="24"/>
        </w:rPr>
        <w:t xml:space="preserve"> </w:t>
      </w:r>
      <w:r w:rsidR="00465F36">
        <w:rPr>
          <w:rFonts w:ascii="Times New Roman" w:hAnsi="Times New Roman" w:cs="Times New Roman"/>
          <w:sz w:val="24"/>
          <w:szCs w:val="24"/>
        </w:rPr>
        <w:t>w rozumieniu art. 2 pkt 1</w:t>
      </w:r>
      <w:r w:rsidR="00465F36" w:rsidRPr="004120FE">
        <w:rPr>
          <w:rFonts w:ascii="Times New Roman" w:hAnsi="Times New Roman" w:cs="Times New Roman"/>
          <w:sz w:val="24"/>
          <w:szCs w:val="24"/>
        </w:rPr>
        <w:t xml:space="preserve"> </w:t>
      </w:r>
      <w:r w:rsidR="00465F36">
        <w:rPr>
          <w:rFonts w:ascii="Times New Roman" w:hAnsi="Times New Roman" w:cs="Times New Roman"/>
          <w:sz w:val="24"/>
          <w:szCs w:val="24"/>
        </w:rPr>
        <w:t>tego rozporządzenia</w:t>
      </w:r>
      <w:r w:rsidR="00465F36" w:rsidRPr="00871583">
        <w:rPr>
          <w:rFonts w:ascii="Times New Roman" w:hAnsi="Times New Roman" w:cs="Times New Roman"/>
          <w:sz w:val="24"/>
          <w:szCs w:val="24"/>
        </w:rPr>
        <w:t xml:space="preserve"> </w:t>
      </w:r>
      <w:r w:rsidRPr="00071C01">
        <w:rPr>
          <w:rFonts w:ascii="Times New Roman" w:hAnsi="Times New Roman" w:cs="Times New Roman"/>
          <w:sz w:val="24"/>
          <w:szCs w:val="24"/>
        </w:rPr>
        <w:t>– podlega opłacie w wysokości równowartości w złotych 4.500 euro;</w:t>
      </w:r>
    </w:p>
    <w:p w:rsidR="00377560" w:rsidRPr="00071C01" w:rsidRDefault="00377560" w:rsidP="00071C01">
      <w:pPr>
        <w:pStyle w:val="Akapitzlist"/>
        <w:numPr>
          <w:ilvl w:val="0"/>
          <w:numId w:val="41"/>
        </w:numPr>
        <w:ind w:left="709" w:hanging="283"/>
        <w:jc w:val="both"/>
        <w:rPr>
          <w:rFonts w:ascii="Times New Roman" w:hAnsi="Times New Roman" w:cs="Times New Roman"/>
          <w:sz w:val="24"/>
          <w:szCs w:val="24"/>
        </w:rPr>
      </w:pPr>
      <w:r w:rsidRPr="00071C01">
        <w:rPr>
          <w:rFonts w:ascii="Times New Roman" w:hAnsi="Times New Roman" w:cs="Times New Roman"/>
          <w:sz w:val="24"/>
          <w:szCs w:val="24"/>
        </w:rPr>
        <w:t>cofniecie w całości lub w części zezwolenia na świadczenie usług rozliczeniowych jako CCP</w:t>
      </w:r>
      <w:r w:rsidR="00465F36">
        <w:rPr>
          <w:rFonts w:ascii="Times New Roman" w:hAnsi="Times New Roman" w:cs="Times New Roman"/>
          <w:sz w:val="24"/>
          <w:szCs w:val="24"/>
        </w:rPr>
        <w:t>,</w:t>
      </w:r>
      <w:r w:rsidRPr="00071C01">
        <w:rPr>
          <w:rFonts w:ascii="Times New Roman" w:hAnsi="Times New Roman" w:cs="Times New Roman"/>
          <w:sz w:val="24"/>
          <w:szCs w:val="24"/>
        </w:rPr>
        <w:t xml:space="preserve"> </w:t>
      </w:r>
      <w:r w:rsidR="00465F36">
        <w:rPr>
          <w:rFonts w:ascii="Times New Roman" w:hAnsi="Times New Roman" w:cs="Times New Roman"/>
          <w:sz w:val="24"/>
          <w:szCs w:val="24"/>
        </w:rPr>
        <w:t>w rozumieniu art. 2 pkt 1</w:t>
      </w:r>
      <w:r w:rsidR="00465F36" w:rsidRPr="004120FE">
        <w:rPr>
          <w:rFonts w:ascii="Times New Roman" w:hAnsi="Times New Roman" w:cs="Times New Roman"/>
          <w:sz w:val="24"/>
          <w:szCs w:val="24"/>
        </w:rPr>
        <w:t xml:space="preserve"> </w:t>
      </w:r>
      <w:r w:rsidR="00465F36">
        <w:rPr>
          <w:rFonts w:ascii="Times New Roman" w:hAnsi="Times New Roman" w:cs="Times New Roman"/>
          <w:sz w:val="24"/>
          <w:szCs w:val="24"/>
        </w:rPr>
        <w:t>tego rozporządzenia</w:t>
      </w:r>
      <w:r w:rsidR="00465F36" w:rsidRPr="00F93936">
        <w:rPr>
          <w:rFonts w:ascii="Times New Roman" w:hAnsi="Times New Roman" w:cs="Times New Roman"/>
          <w:sz w:val="24"/>
          <w:szCs w:val="24"/>
        </w:rPr>
        <w:t xml:space="preserve"> </w:t>
      </w:r>
      <w:r w:rsidRPr="00071C01">
        <w:rPr>
          <w:rFonts w:ascii="Times New Roman" w:hAnsi="Times New Roman" w:cs="Times New Roman"/>
          <w:sz w:val="24"/>
          <w:szCs w:val="24"/>
        </w:rPr>
        <w:t>– podlega opłacie w wysokości równowartości w złotych 4.500 euro.</w:t>
      </w:r>
    </w:p>
    <w:p w:rsidR="00820B39" w:rsidRDefault="00377560" w:rsidP="00071C01">
      <w:pPr>
        <w:spacing w:after="120"/>
        <w:ind w:firstLine="357"/>
        <w:jc w:val="both"/>
        <w:rPr>
          <w:rFonts w:ascii="Times New Roman" w:hAnsi="Times New Roman" w:cs="Times New Roman"/>
          <w:sz w:val="24"/>
          <w:szCs w:val="24"/>
        </w:rPr>
      </w:pPr>
      <w:r w:rsidRPr="00071C01">
        <w:rPr>
          <w:rFonts w:ascii="Times New Roman" w:hAnsi="Times New Roman" w:cs="Times New Roman"/>
          <w:b/>
          <w:sz w:val="24"/>
          <w:szCs w:val="24"/>
        </w:rPr>
        <w:lastRenderedPageBreak/>
        <w:t xml:space="preserve">§ </w:t>
      </w:r>
      <w:r w:rsidR="00871583">
        <w:rPr>
          <w:rFonts w:ascii="Times New Roman" w:hAnsi="Times New Roman" w:cs="Times New Roman"/>
          <w:b/>
          <w:sz w:val="24"/>
          <w:szCs w:val="24"/>
        </w:rPr>
        <w:t>8</w:t>
      </w:r>
      <w:r w:rsidRPr="00071C01">
        <w:rPr>
          <w:rFonts w:ascii="Times New Roman" w:hAnsi="Times New Roman" w:cs="Times New Roman"/>
          <w:b/>
          <w:sz w:val="24"/>
          <w:szCs w:val="24"/>
        </w:rPr>
        <w:t>.</w:t>
      </w:r>
      <w:r>
        <w:rPr>
          <w:rFonts w:ascii="Times New Roman" w:hAnsi="Times New Roman" w:cs="Times New Roman"/>
          <w:sz w:val="24"/>
          <w:szCs w:val="24"/>
        </w:rPr>
        <w:t xml:space="preserve"> </w:t>
      </w:r>
      <w:r w:rsidR="00820B39">
        <w:rPr>
          <w:rFonts w:ascii="Times New Roman" w:hAnsi="Times New Roman" w:cs="Times New Roman"/>
          <w:sz w:val="24"/>
          <w:szCs w:val="24"/>
        </w:rPr>
        <w:t>Udzie</w:t>
      </w:r>
      <w:r w:rsidR="00844CC4">
        <w:rPr>
          <w:rFonts w:ascii="Times New Roman" w:hAnsi="Times New Roman" w:cs="Times New Roman"/>
          <w:sz w:val="24"/>
          <w:szCs w:val="24"/>
        </w:rPr>
        <w:t xml:space="preserve">lenie zezwolenia, pozwolenia lub zgody na podstawie przepisów rozporządzeniem </w:t>
      </w:r>
      <w:r w:rsidR="00076ED2">
        <w:rPr>
          <w:rFonts w:ascii="Times New Roman" w:hAnsi="Times New Roman" w:cs="Times New Roman"/>
          <w:sz w:val="24"/>
          <w:szCs w:val="24"/>
        </w:rPr>
        <w:t xml:space="preserve">Nr </w:t>
      </w:r>
      <w:r w:rsidR="00844CC4">
        <w:rPr>
          <w:rFonts w:ascii="Times New Roman" w:hAnsi="Times New Roman" w:cs="Times New Roman"/>
          <w:sz w:val="24"/>
          <w:szCs w:val="24"/>
        </w:rPr>
        <w:t>575/2013</w:t>
      </w:r>
      <w:r w:rsidR="00844CC4" w:rsidRPr="00844CC4">
        <w:rPr>
          <w:rFonts w:ascii="Times New Roman" w:hAnsi="Times New Roman" w:cs="Times New Roman"/>
          <w:sz w:val="24"/>
          <w:szCs w:val="24"/>
        </w:rPr>
        <w:t xml:space="preserve"> </w:t>
      </w:r>
      <w:r w:rsidR="00844CC4">
        <w:rPr>
          <w:rFonts w:ascii="Times New Roman" w:hAnsi="Times New Roman" w:cs="Times New Roman"/>
          <w:sz w:val="24"/>
          <w:szCs w:val="24"/>
        </w:rPr>
        <w:t>podlega opłacie w wysokości równowartości w złotych 1000 euro, z wyjątkiem:</w:t>
      </w:r>
    </w:p>
    <w:p w:rsidR="00820B39" w:rsidRDefault="00820B39" w:rsidP="00071C01">
      <w:pPr>
        <w:pStyle w:val="Akapitzlist"/>
        <w:numPr>
          <w:ilvl w:val="0"/>
          <w:numId w:val="40"/>
        </w:numPr>
        <w:jc w:val="both"/>
        <w:rPr>
          <w:rFonts w:ascii="Times New Roman" w:hAnsi="Times New Roman" w:cs="Times New Roman"/>
          <w:sz w:val="24"/>
          <w:szCs w:val="24"/>
        </w:rPr>
      </w:pPr>
      <w:r w:rsidRPr="000B1C66">
        <w:rPr>
          <w:rFonts w:ascii="Times New Roman" w:hAnsi="Times New Roman" w:cs="Times New Roman"/>
          <w:sz w:val="24"/>
          <w:szCs w:val="24"/>
        </w:rPr>
        <w:t>zezwolenia, pozwolenia lub zgody</w:t>
      </w:r>
      <w:r>
        <w:rPr>
          <w:rFonts w:ascii="Times New Roman" w:hAnsi="Times New Roman" w:cs="Times New Roman"/>
          <w:sz w:val="24"/>
          <w:szCs w:val="24"/>
        </w:rPr>
        <w:t>, o których mowa w art. 26 ust. 3, art. 77, art. 79 ust. 1 i art. 400 ust. 2</w:t>
      </w:r>
      <w:r w:rsidR="00844CC4">
        <w:rPr>
          <w:rFonts w:ascii="Times New Roman" w:hAnsi="Times New Roman" w:cs="Times New Roman"/>
          <w:sz w:val="24"/>
          <w:szCs w:val="24"/>
        </w:rPr>
        <w:t xml:space="preserve"> tego rozporządzenia –</w:t>
      </w:r>
      <w:r>
        <w:rPr>
          <w:rFonts w:ascii="Times New Roman" w:hAnsi="Times New Roman" w:cs="Times New Roman"/>
          <w:sz w:val="24"/>
          <w:szCs w:val="24"/>
        </w:rPr>
        <w:t xml:space="preserve"> </w:t>
      </w:r>
      <w:r w:rsidR="00844CC4">
        <w:rPr>
          <w:rFonts w:ascii="Times New Roman" w:hAnsi="Times New Roman" w:cs="Times New Roman"/>
          <w:sz w:val="24"/>
          <w:szCs w:val="24"/>
        </w:rPr>
        <w:t xml:space="preserve">które </w:t>
      </w:r>
      <w:r>
        <w:rPr>
          <w:rFonts w:ascii="Times New Roman" w:hAnsi="Times New Roman" w:cs="Times New Roman"/>
          <w:sz w:val="24"/>
          <w:szCs w:val="24"/>
        </w:rPr>
        <w:t>podlega</w:t>
      </w:r>
      <w:r w:rsidR="00835DBE">
        <w:rPr>
          <w:rFonts w:ascii="Times New Roman" w:hAnsi="Times New Roman" w:cs="Times New Roman"/>
          <w:sz w:val="24"/>
          <w:szCs w:val="24"/>
        </w:rPr>
        <w:t>ją</w:t>
      </w:r>
      <w:r>
        <w:rPr>
          <w:rFonts w:ascii="Times New Roman" w:hAnsi="Times New Roman" w:cs="Times New Roman"/>
          <w:sz w:val="24"/>
          <w:szCs w:val="24"/>
        </w:rPr>
        <w:t xml:space="preserve"> opłacie w wysokości równowartości w złotych 300 euro;</w:t>
      </w:r>
    </w:p>
    <w:p w:rsidR="00820B39" w:rsidRPr="00071C01" w:rsidRDefault="00820B39" w:rsidP="00071C01">
      <w:pPr>
        <w:pStyle w:val="Akapitzlist"/>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zezwolenia, pozwolenia lub zgody, o których mowa w części trzeciej </w:t>
      </w:r>
      <w:r w:rsidR="00844CC4">
        <w:rPr>
          <w:rFonts w:ascii="Times New Roman" w:hAnsi="Times New Roman" w:cs="Times New Roman"/>
          <w:sz w:val="24"/>
          <w:szCs w:val="24"/>
        </w:rPr>
        <w:t>w tytule</w:t>
      </w:r>
      <w:r>
        <w:rPr>
          <w:rFonts w:ascii="Times New Roman" w:hAnsi="Times New Roman" w:cs="Times New Roman"/>
          <w:sz w:val="24"/>
          <w:szCs w:val="24"/>
        </w:rPr>
        <w:t xml:space="preserve"> drugi</w:t>
      </w:r>
      <w:r w:rsidR="00844CC4">
        <w:rPr>
          <w:rFonts w:ascii="Times New Roman" w:hAnsi="Times New Roman" w:cs="Times New Roman"/>
          <w:sz w:val="24"/>
          <w:szCs w:val="24"/>
        </w:rPr>
        <w:t>m</w:t>
      </w:r>
      <w:r>
        <w:rPr>
          <w:rFonts w:ascii="Times New Roman" w:hAnsi="Times New Roman" w:cs="Times New Roman"/>
          <w:sz w:val="24"/>
          <w:szCs w:val="24"/>
        </w:rPr>
        <w:t xml:space="preserve"> </w:t>
      </w:r>
      <w:r w:rsidR="00844CC4">
        <w:rPr>
          <w:rFonts w:ascii="Times New Roman" w:hAnsi="Times New Roman" w:cs="Times New Roman"/>
          <w:sz w:val="24"/>
          <w:szCs w:val="24"/>
        </w:rPr>
        <w:t>w rozdziałach 3-</w:t>
      </w:r>
      <w:r>
        <w:rPr>
          <w:rFonts w:ascii="Times New Roman" w:hAnsi="Times New Roman" w:cs="Times New Roman"/>
          <w:sz w:val="24"/>
          <w:szCs w:val="24"/>
        </w:rPr>
        <w:t xml:space="preserve">6, w części trzeciej </w:t>
      </w:r>
      <w:r w:rsidR="00844CC4">
        <w:rPr>
          <w:rFonts w:ascii="Times New Roman" w:hAnsi="Times New Roman" w:cs="Times New Roman"/>
          <w:sz w:val="24"/>
          <w:szCs w:val="24"/>
        </w:rPr>
        <w:t>w tytule</w:t>
      </w:r>
      <w:r>
        <w:rPr>
          <w:rFonts w:ascii="Times New Roman" w:hAnsi="Times New Roman" w:cs="Times New Roman"/>
          <w:sz w:val="24"/>
          <w:szCs w:val="24"/>
        </w:rPr>
        <w:t xml:space="preserve"> trzeci</w:t>
      </w:r>
      <w:r w:rsidR="00844CC4">
        <w:rPr>
          <w:rFonts w:ascii="Times New Roman" w:hAnsi="Times New Roman" w:cs="Times New Roman"/>
          <w:sz w:val="24"/>
          <w:szCs w:val="24"/>
        </w:rPr>
        <w:t>m</w:t>
      </w:r>
      <w:r>
        <w:rPr>
          <w:rFonts w:ascii="Times New Roman" w:hAnsi="Times New Roman" w:cs="Times New Roman"/>
          <w:sz w:val="24"/>
          <w:szCs w:val="24"/>
        </w:rPr>
        <w:t xml:space="preserve"> oraz </w:t>
      </w:r>
      <w:r w:rsidR="00844CC4">
        <w:rPr>
          <w:rFonts w:ascii="Times New Roman" w:hAnsi="Times New Roman" w:cs="Times New Roman"/>
          <w:sz w:val="24"/>
          <w:szCs w:val="24"/>
        </w:rPr>
        <w:t>w tytule</w:t>
      </w:r>
      <w:r>
        <w:rPr>
          <w:rFonts w:ascii="Times New Roman" w:hAnsi="Times New Roman" w:cs="Times New Roman"/>
          <w:sz w:val="24"/>
          <w:szCs w:val="24"/>
        </w:rPr>
        <w:t xml:space="preserve"> czwarty</w:t>
      </w:r>
      <w:r w:rsidR="00844CC4">
        <w:rPr>
          <w:rFonts w:ascii="Times New Roman" w:hAnsi="Times New Roman" w:cs="Times New Roman"/>
          <w:sz w:val="24"/>
          <w:szCs w:val="24"/>
        </w:rPr>
        <w:t>m,</w:t>
      </w:r>
      <w:r>
        <w:rPr>
          <w:rFonts w:ascii="Times New Roman" w:hAnsi="Times New Roman" w:cs="Times New Roman"/>
          <w:sz w:val="24"/>
          <w:szCs w:val="24"/>
        </w:rPr>
        <w:t xml:space="preserve"> z </w:t>
      </w:r>
      <w:r w:rsidRPr="00871583">
        <w:rPr>
          <w:rFonts w:ascii="Times New Roman" w:hAnsi="Times New Roman" w:cs="Times New Roman"/>
          <w:sz w:val="24"/>
          <w:szCs w:val="24"/>
        </w:rPr>
        <w:t xml:space="preserve">wyłączeniem </w:t>
      </w:r>
      <w:r w:rsidR="00835DBE" w:rsidRPr="00071C01">
        <w:rPr>
          <w:rFonts w:ascii="Times New Roman" w:hAnsi="Times New Roman" w:cs="Times New Roman"/>
          <w:sz w:val="24"/>
          <w:szCs w:val="24"/>
        </w:rPr>
        <w:t xml:space="preserve">zgody, o której mowa w </w:t>
      </w:r>
      <w:r w:rsidRPr="00871583">
        <w:rPr>
          <w:rFonts w:ascii="Times New Roman" w:hAnsi="Times New Roman" w:cs="Times New Roman"/>
          <w:sz w:val="24"/>
          <w:szCs w:val="24"/>
        </w:rPr>
        <w:t>art. 385</w:t>
      </w:r>
      <w:r>
        <w:rPr>
          <w:rFonts w:ascii="Times New Roman" w:hAnsi="Times New Roman" w:cs="Times New Roman"/>
          <w:sz w:val="24"/>
          <w:szCs w:val="24"/>
        </w:rPr>
        <w:t xml:space="preserve"> </w:t>
      </w:r>
      <w:r w:rsidR="00844CC4">
        <w:rPr>
          <w:rFonts w:ascii="Times New Roman" w:hAnsi="Times New Roman" w:cs="Times New Roman"/>
          <w:sz w:val="24"/>
          <w:szCs w:val="24"/>
        </w:rPr>
        <w:t xml:space="preserve">tego </w:t>
      </w:r>
      <w:r>
        <w:rPr>
          <w:rFonts w:ascii="Times New Roman" w:hAnsi="Times New Roman" w:cs="Times New Roman"/>
          <w:sz w:val="24"/>
          <w:szCs w:val="24"/>
        </w:rPr>
        <w:t>rozporządzenia</w:t>
      </w:r>
      <w:r w:rsidR="00844CC4">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CC4">
        <w:rPr>
          <w:rFonts w:ascii="Times New Roman" w:hAnsi="Times New Roman" w:cs="Times New Roman"/>
          <w:sz w:val="24"/>
          <w:szCs w:val="24"/>
        </w:rPr>
        <w:t xml:space="preserve">które </w:t>
      </w:r>
      <w:r>
        <w:rPr>
          <w:rFonts w:ascii="Times New Roman" w:hAnsi="Times New Roman" w:cs="Times New Roman"/>
          <w:sz w:val="24"/>
          <w:szCs w:val="24"/>
        </w:rPr>
        <w:t>podlega</w:t>
      </w:r>
      <w:r w:rsidR="00835DBE">
        <w:rPr>
          <w:rFonts w:ascii="Times New Roman" w:hAnsi="Times New Roman" w:cs="Times New Roman"/>
          <w:sz w:val="24"/>
          <w:szCs w:val="24"/>
        </w:rPr>
        <w:t>ją</w:t>
      </w:r>
      <w:r>
        <w:rPr>
          <w:rFonts w:ascii="Times New Roman" w:hAnsi="Times New Roman" w:cs="Times New Roman"/>
          <w:sz w:val="24"/>
          <w:szCs w:val="24"/>
        </w:rPr>
        <w:t xml:space="preserve"> opłacie w wysokości ró</w:t>
      </w:r>
      <w:r w:rsidR="00844CC4">
        <w:rPr>
          <w:rFonts w:ascii="Times New Roman" w:hAnsi="Times New Roman" w:cs="Times New Roman"/>
          <w:sz w:val="24"/>
          <w:szCs w:val="24"/>
        </w:rPr>
        <w:t>wnowartości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 xml:space="preserve">§ </w:t>
      </w:r>
      <w:r w:rsidR="00871583">
        <w:rPr>
          <w:rFonts w:ascii="Times New Roman" w:eastAsia="Times New Roman" w:hAnsi="Times New Roman" w:cs="Times New Roman"/>
          <w:b/>
          <w:bCs/>
          <w:sz w:val="24"/>
          <w:szCs w:val="24"/>
          <w:lang w:eastAsia="pl-PL"/>
        </w:rPr>
        <w:t>9</w:t>
      </w: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Pr="001B3426" w:rsidDel="009811E9">
        <w:rPr>
          <w:rFonts w:ascii="Times New Roman" w:eastAsia="Times New Roman" w:hAnsi="Times New Roman" w:cs="Times New Roman"/>
          <w:b/>
          <w:sz w:val="24"/>
          <w:szCs w:val="24"/>
          <w:lang w:eastAsia="pl-PL"/>
        </w:rPr>
        <w:t xml:space="preserve"> </w:t>
      </w:r>
      <w:r w:rsidRPr="001B3426">
        <w:rPr>
          <w:rFonts w:ascii="Times New Roman" w:eastAsia="Times New Roman" w:hAnsi="Times New Roman" w:cs="Times New Roman"/>
          <w:sz w:val="24"/>
          <w:szCs w:val="24"/>
          <w:lang w:eastAsia="pl-PL"/>
        </w:rPr>
        <w:t xml:space="preserve">Udzielenie na podstawie przepisów </w:t>
      </w:r>
      <w:hyperlink r:id="rId25" w:anchor="hiperlinkText.rpc?hiperlink=type=tresc:nro=Powszechny.44364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obrocie instrumentami finansowymi:</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1)   zgody, o której mowa w </w:t>
      </w:r>
      <w:hyperlink r:id="rId26" w:anchor="hiperlinkText.rpc?hiperlink=type=tresc:nro=Powszechny.443643:part=a22u2&amp;full=1" w:tgtFrame="_parent" w:history="1">
        <w:r w:rsidRPr="001B3426">
          <w:rPr>
            <w:rFonts w:ascii="Times New Roman" w:eastAsia="Times New Roman" w:hAnsi="Times New Roman" w:cs="Times New Roman"/>
            <w:sz w:val="24"/>
            <w:szCs w:val="24"/>
            <w:lang w:eastAsia="pl-PL"/>
          </w:rPr>
          <w:t>art. 22 ust. 2</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2.000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2)   zgody na dokonanie zmiany w składzie zarządu spółki prowadzącej giełdę lub rynek pozagiełdowy - podlega opłacie w wysokości równowartości w złotych 50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3)   zgody na dokonanie zmian w statucie spółki prowadzącej giełdę lub regulaminie giełdy - podlega opłacie w wysokości równowartości w złotych 300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4)   zgody na dokonanie zmian w statucie spółki prowadzącej rynek pozagiełdowy lub regulaminie obrotu na rynku pozagiełdowym - podlega opłacie w wysokości równowartości w złotych 300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5)   zgody, o której mowa w </w:t>
      </w:r>
      <w:hyperlink r:id="rId27" w:anchor="hiperlinkText.rpc?hiperlink=type=tresc:nro=Powszechny.443643:part=a34u2&amp;full=1" w:tgtFrame="_parent" w:history="1">
        <w:r w:rsidRPr="001B3426">
          <w:rPr>
            <w:rFonts w:ascii="Times New Roman" w:eastAsia="Times New Roman" w:hAnsi="Times New Roman" w:cs="Times New Roman"/>
            <w:sz w:val="24"/>
            <w:szCs w:val="24"/>
            <w:lang w:eastAsia="pl-PL"/>
          </w:rPr>
          <w:t>art. 34 ust. 2</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2.000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6)   zgody, o której mowa w </w:t>
      </w:r>
      <w:hyperlink r:id="rId28" w:anchor="hiperlinkText.rpc?hiperlink=type=tresc:nro=Powszechny.443643:part=a51u3&amp;full=1" w:tgtFrame="_parent" w:history="1">
        <w:r w:rsidRPr="001B3426">
          <w:rPr>
            <w:rFonts w:ascii="Times New Roman" w:eastAsia="Times New Roman" w:hAnsi="Times New Roman" w:cs="Times New Roman"/>
            <w:sz w:val="24"/>
            <w:szCs w:val="24"/>
            <w:lang w:eastAsia="pl-PL"/>
          </w:rPr>
          <w:t>art. 51 ust. 3</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4.500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7)   zgody, o której mowa w </w:t>
      </w:r>
      <w:hyperlink r:id="rId29" w:anchor="hiperlinkText.rpc?hiperlink=type=tresc:nro=Powszechny.443643:part=a74(a)u2&amp;full=1" w:tgtFrame="_parent" w:history="1">
        <w:r w:rsidRPr="001B3426">
          <w:rPr>
            <w:rFonts w:ascii="Times New Roman" w:eastAsia="Times New Roman" w:hAnsi="Times New Roman" w:cs="Times New Roman"/>
            <w:sz w:val="24"/>
            <w:szCs w:val="24"/>
            <w:lang w:eastAsia="pl-PL"/>
          </w:rPr>
          <w:t>art. 74a ust. 2</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4.000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8)   zgody, o której mowa w art. 78a ust. 3 lub art. 78a ust. 6 ustawy o obrocie instrumentami finansowymi - podlega opłacie w wysokości równowartości w złotych 4.000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9)   zgody, o której mowa w </w:t>
      </w:r>
      <w:hyperlink r:id="rId30" w:anchor="hiperlinkText.rpc?hiperlink=type=tresc:nro=Powszechny.443643:part=a167u4&amp;full=1" w:tgtFrame="_parent" w:history="1">
        <w:r w:rsidRPr="001B3426">
          <w:rPr>
            <w:rFonts w:ascii="Times New Roman" w:eastAsia="Times New Roman" w:hAnsi="Times New Roman" w:cs="Times New Roman"/>
            <w:sz w:val="24"/>
            <w:szCs w:val="24"/>
            <w:lang w:eastAsia="pl-PL"/>
          </w:rPr>
          <w:t>art. 167 ust. 4</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1.000 euro;</w:t>
      </w:r>
    </w:p>
    <w:p w:rsidR="001B3426" w:rsidRPr="001B3426" w:rsidRDefault="001B3426" w:rsidP="001B3426">
      <w:pPr>
        <w:spacing w:before="120" w:after="0" w:line="240" w:lineRule="auto"/>
        <w:ind w:left="993" w:hanging="56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10)  zgody, o której mowa w </w:t>
      </w:r>
      <w:hyperlink r:id="rId31" w:anchor="hiperlinkText.rpc?hiperlink=type=tresc:nro=Powszechny.443643:part=a169u6&amp;full=1" w:tgtFrame="_parent" w:history="1">
        <w:r w:rsidRPr="001B3426">
          <w:rPr>
            <w:rFonts w:ascii="Times New Roman" w:eastAsia="Times New Roman" w:hAnsi="Times New Roman" w:cs="Times New Roman"/>
            <w:sz w:val="24"/>
            <w:szCs w:val="24"/>
            <w:lang w:eastAsia="pl-PL"/>
          </w:rPr>
          <w:t>art. 169 ust. 6</w:t>
        </w:r>
      </w:hyperlink>
      <w:r w:rsidRPr="001B3426">
        <w:rPr>
          <w:rFonts w:ascii="Times New Roman" w:eastAsia="Times New Roman" w:hAnsi="Times New Roman" w:cs="Times New Roman"/>
          <w:sz w:val="24"/>
          <w:szCs w:val="24"/>
          <w:lang w:eastAsia="pl-PL"/>
        </w:rPr>
        <w:t xml:space="preserve"> ustawy o obrocie instrumentami finansowymi - podlega opłacie w wysokości równowartości w złotych 1.000 euro</w:t>
      </w:r>
      <w:r w:rsidR="00B50404">
        <w:rPr>
          <w:rFonts w:ascii="Times New Roman" w:eastAsia="Times New Roman" w:hAnsi="Times New Roman" w:cs="Times New Roman"/>
          <w:sz w:val="24"/>
          <w:szCs w:val="24"/>
          <w:lang w:eastAsia="pl-PL"/>
        </w:rPr>
        <w:t>.</w:t>
      </w:r>
    </w:p>
    <w:p w:rsidR="001B3426" w:rsidRPr="001B3426" w:rsidRDefault="001B3426">
      <w:pPr>
        <w:spacing w:before="120" w:after="0" w:line="240" w:lineRule="auto"/>
        <w:ind w:left="993" w:hanging="567"/>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t>  </w:t>
      </w:r>
    </w:p>
    <w:p w:rsidR="001B3426" w:rsidRPr="001B3426" w:rsidRDefault="001B3426" w:rsidP="001B3426">
      <w:pPr>
        <w:tabs>
          <w:tab w:val="left" w:pos="426"/>
          <w:tab w:val="left" w:pos="851"/>
        </w:tabs>
        <w:spacing w:before="120" w:after="0" w:line="240" w:lineRule="auto"/>
        <w:ind w:firstLine="426"/>
        <w:jc w:val="both"/>
        <w:rPr>
          <w:rFonts w:ascii="Times New Roman" w:eastAsia="Times New Roman" w:hAnsi="Times New Roman" w:cs="Times New Roman"/>
          <w:bCs/>
          <w:sz w:val="24"/>
          <w:szCs w:val="24"/>
          <w:lang w:eastAsia="pl-PL"/>
        </w:rPr>
      </w:pPr>
      <w:r w:rsidRPr="001B3426">
        <w:rPr>
          <w:rFonts w:ascii="Times New Roman" w:hAnsi="Times New Roman" w:cs="Times New Roman"/>
          <w:i/>
          <w:sz w:val="24"/>
          <w:szCs w:val="24"/>
        </w:rPr>
        <w:t xml:space="preserve"> </w:t>
      </w:r>
      <w:r w:rsidRPr="001B3426">
        <w:rPr>
          <w:rFonts w:ascii="Times New Roman" w:eastAsia="Times New Roman" w:hAnsi="Times New Roman" w:cs="Times New Roman"/>
          <w:b/>
          <w:bCs/>
          <w:sz w:val="24"/>
          <w:szCs w:val="24"/>
          <w:lang w:eastAsia="pl-PL"/>
        </w:rPr>
        <w:t xml:space="preserve">§ </w:t>
      </w:r>
      <w:r w:rsidR="00871583">
        <w:rPr>
          <w:rFonts w:ascii="Times New Roman" w:eastAsia="Times New Roman" w:hAnsi="Times New Roman" w:cs="Times New Roman"/>
          <w:b/>
          <w:bCs/>
          <w:sz w:val="24"/>
          <w:szCs w:val="24"/>
          <w:lang w:eastAsia="pl-PL"/>
        </w:rPr>
        <w:t>10</w:t>
      </w: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bCs/>
          <w:sz w:val="24"/>
          <w:szCs w:val="24"/>
          <w:lang w:eastAsia="pl-PL"/>
        </w:rPr>
        <w:t xml:space="preserve"> Dokonane na podstawie przepisów ustawy o obrocie instrumentami finansowymi:   </w:t>
      </w:r>
    </w:p>
    <w:p w:rsidR="001B3426" w:rsidRPr="001B3426" w:rsidRDefault="001B3426" w:rsidP="001B3426">
      <w:pPr>
        <w:tabs>
          <w:tab w:val="left" w:pos="284"/>
        </w:tabs>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1)</w:t>
      </w:r>
      <w:r w:rsidRPr="001B3426">
        <w:rPr>
          <w:rFonts w:ascii="Times New Roman" w:eastAsia="Times New Roman" w:hAnsi="Times New Roman" w:cs="Times New Roman"/>
          <w:bCs/>
          <w:sz w:val="24"/>
          <w:szCs w:val="24"/>
          <w:lang w:eastAsia="pl-PL"/>
        </w:rPr>
        <w:tab/>
        <w:t>zatwierdzenie zmian w regulaminie Krajowego Depozytu Papierów Wartościowych S.A.,</w:t>
      </w:r>
      <w:r w:rsidRPr="001B3426">
        <w:t xml:space="preserve"> </w:t>
      </w:r>
      <w:r w:rsidRPr="001B3426">
        <w:rPr>
          <w:rFonts w:ascii="Times New Roman" w:eastAsia="Times New Roman" w:hAnsi="Times New Roman" w:cs="Times New Roman"/>
          <w:bCs/>
          <w:sz w:val="24"/>
          <w:szCs w:val="24"/>
          <w:lang w:eastAsia="pl-PL"/>
        </w:rPr>
        <w:t>zwanego dalej „Krajowym Depozytem” – podlega opłacie w wysokości równowartości w złotych 300 euro;</w:t>
      </w:r>
    </w:p>
    <w:p w:rsidR="001B3426" w:rsidRPr="001B3426" w:rsidRDefault="001B3426" w:rsidP="001B3426">
      <w:pPr>
        <w:tabs>
          <w:tab w:val="left" w:pos="284"/>
        </w:tabs>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2)</w:t>
      </w:r>
      <w:r w:rsidRPr="001B3426">
        <w:rPr>
          <w:rFonts w:ascii="Times New Roman" w:eastAsia="Times New Roman" w:hAnsi="Times New Roman" w:cs="Times New Roman"/>
          <w:bCs/>
          <w:sz w:val="24"/>
          <w:szCs w:val="24"/>
          <w:lang w:eastAsia="pl-PL"/>
        </w:rPr>
        <w:tab/>
        <w:t xml:space="preserve"> zatwierdzenie zmian w regulaminie spółki, której Krajowy Depozyt przekazał wykonywanie czynności z zakresu zadań, o których mowa w art. 48 ust. 1 – 2  ustawy o obrocie instrumentami finansowymi – podlega opłacie w wysokości równowartości w złotych 300 euro;</w:t>
      </w:r>
    </w:p>
    <w:p w:rsidR="001B3426" w:rsidRPr="001B3426" w:rsidRDefault="001B3426" w:rsidP="001B3426">
      <w:pPr>
        <w:tabs>
          <w:tab w:val="left" w:pos="284"/>
        </w:tabs>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3)</w:t>
      </w:r>
      <w:r w:rsidRPr="001B3426">
        <w:rPr>
          <w:rFonts w:ascii="Times New Roman" w:eastAsia="Times New Roman" w:hAnsi="Times New Roman" w:cs="Times New Roman"/>
          <w:bCs/>
          <w:sz w:val="24"/>
          <w:szCs w:val="24"/>
          <w:lang w:eastAsia="pl-PL"/>
        </w:rPr>
        <w:tab/>
        <w:t>zatwierdzenie zmian w regulaminie izby rozliczeniowej lub izby rozrachunkowej – podlega opłacie w wysokości równowartości w złotych 300 euro;</w:t>
      </w:r>
    </w:p>
    <w:p w:rsidR="001B3426" w:rsidRPr="001B3426" w:rsidRDefault="001B3426" w:rsidP="001B3426">
      <w:pPr>
        <w:tabs>
          <w:tab w:val="left" w:pos="284"/>
        </w:tabs>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4)</w:t>
      </w:r>
      <w:r w:rsidRPr="001B3426">
        <w:rPr>
          <w:rFonts w:ascii="Times New Roman" w:eastAsia="Times New Roman" w:hAnsi="Times New Roman" w:cs="Times New Roman"/>
          <w:bCs/>
          <w:sz w:val="24"/>
          <w:szCs w:val="24"/>
          <w:lang w:eastAsia="pl-PL"/>
        </w:rPr>
        <w:tab/>
        <w:t>zatwierdzenie zmian w regulaminie funduszu rozliczeniowego zarządzanego przez izbę rozliczeniową, Krajowy Depozyt lub spółkę, której Krajowy Depozyt przekazał wykonywanie czynności z zakresu zadań, o których mowa w art. 48 ust. 2 pkt 1 ustawy o obrocie instrumentami finansowymi – podlega opłacie w wysokości równowartości w złotych 300 euro;</w:t>
      </w:r>
    </w:p>
    <w:p w:rsidR="001B3426" w:rsidRPr="001B3426" w:rsidRDefault="001B3426" w:rsidP="001B3426">
      <w:pPr>
        <w:tabs>
          <w:tab w:val="left" w:pos="284"/>
        </w:tabs>
        <w:spacing w:before="120" w:after="0" w:line="240" w:lineRule="auto"/>
        <w:ind w:left="993" w:hanging="284"/>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bCs/>
          <w:sz w:val="24"/>
          <w:szCs w:val="24"/>
          <w:lang w:eastAsia="pl-PL"/>
        </w:rPr>
        <w:t>5)</w:t>
      </w:r>
      <w:r w:rsidRPr="001B3426">
        <w:rPr>
          <w:rFonts w:ascii="Times New Roman" w:eastAsia="Times New Roman" w:hAnsi="Times New Roman" w:cs="Times New Roman"/>
          <w:bCs/>
          <w:sz w:val="24"/>
          <w:szCs w:val="24"/>
          <w:lang w:eastAsia="pl-PL"/>
        </w:rPr>
        <w:tab/>
        <w:t>zatwierdzenie zmian w regulaminie funkcjonowania systemu rekompensat – podlega opłacie w wysokości równowartości w złotych 300 euro;</w:t>
      </w:r>
      <w:r w:rsidRPr="001B3426">
        <w:rPr>
          <w:rFonts w:ascii="Times New Roman" w:eastAsia="Times New Roman" w:hAnsi="Times New Roman" w:cs="Times New Roman"/>
          <w:b/>
          <w:bCs/>
          <w:sz w:val="24"/>
          <w:szCs w:val="24"/>
          <w:lang w:eastAsia="pl-PL"/>
        </w:rPr>
        <w:tab/>
      </w:r>
    </w:p>
    <w:p w:rsidR="001B3426" w:rsidRPr="001B3426" w:rsidRDefault="001B3426" w:rsidP="001B3426">
      <w:pPr>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6) złożenie zawiadomienia, o którym mowa w art. 16 ust. 4 ustawy o obrocie instrumentami finansowymi, podlega opłacie w wysokości równowartości w złotych 4.500 euro;</w:t>
      </w:r>
    </w:p>
    <w:p w:rsidR="001B3426" w:rsidRPr="001B3426" w:rsidRDefault="001B3426" w:rsidP="001B3426">
      <w:pPr>
        <w:spacing w:before="120" w:after="0" w:line="240" w:lineRule="auto"/>
        <w:ind w:left="993" w:hanging="284"/>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7) złożenie zawiadomienia, o którym mowa w art. 21 ust. 3a ustawy o obrocie instrumentami finansowymi, podlega opłacie w wysokości równowartości w złotych 4.500 euro;</w:t>
      </w:r>
    </w:p>
    <w:p w:rsidR="001B3426" w:rsidRPr="001B3426" w:rsidRDefault="001B3426" w:rsidP="001B3426">
      <w:pPr>
        <w:spacing w:before="120" w:after="0" w:line="240" w:lineRule="auto"/>
        <w:ind w:left="993" w:hanging="284"/>
        <w:jc w:val="both"/>
        <w:rPr>
          <w:rFonts w:ascii="Times New Roman" w:hAnsi="Times New Roman" w:cs="Times New Roman"/>
          <w:sz w:val="24"/>
          <w:szCs w:val="24"/>
        </w:rPr>
      </w:pPr>
      <w:r w:rsidRPr="001B3426">
        <w:rPr>
          <w:rFonts w:ascii="Times New Roman" w:eastAsia="Times New Roman" w:hAnsi="Times New Roman" w:cs="Times New Roman"/>
          <w:bCs/>
          <w:sz w:val="24"/>
          <w:szCs w:val="24"/>
          <w:lang w:eastAsia="pl-PL"/>
        </w:rPr>
        <w:t>8) przekazanie informacji, o której mowa w art. 21 ust. 3b ustawy o obrocie instrumentami finansowymi, podlega opłacie w wysokości równowartości w złotych 300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3B06A7">
        <w:rPr>
          <w:rFonts w:ascii="Times New Roman" w:eastAsia="Times New Roman" w:hAnsi="Times New Roman" w:cs="Times New Roman"/>
          <w:b/>
          <w:bCs/>
          <w:sz w:val="24"/>
          <w:szCs w:val="24"/>
          <w:lang w:eastAsia="pl-PL"/>
        </w:rPr>
        <w:t>§</w:t>
      </w:r>
      <w:r w:rsidRPr="003B06A7">
        <w:rPr>
          <w:rFonts w:ascii="Times New Roman" w:eastAsia="Times New Roman" w:hAnsi="Times New Roman" w:cs="Times New Roman"/>
          <w:sz w:val="24"/>
          <w:szCs w:val="24"/>
          <w:lang w:eastAsia="pl-PL"/>
        </w:rPr>
        <w:t> </w:t>
      </w:r>
      <w:r w:rsidR="00871583" w:rsidRPr="003B06A7">
        <w:rPr>
          <w:rFonts w:ascii="Times New Roman" w:eastAsia="Times New Roman" w:hAnsi="Times New Roman" w:cs="Times New Roman"/>
          <w:b/>
          <w:sz w:val="24"/>
          <w:szCs w:val="24"/>
          <w:lang w:eastAsia="pl-PL"/>
        </w:rPr>
        <w:t>11</w:t>
      </w:r>
      <w:r w:rsidRPr="00071C01">
        <w:rPr>
          <w:rFonts w:ascii="Times New Roman" w:eastAsia="Times New Roman" w:hAnsi="Times New Roman" w:cs="Times New Roman"/>
          <w:b/>
          <w:sz w:val="24"/>
          <w:szCs w:val="24"/>
          <w:lang w:eastAsia="pl-PL"/>
        </w:rPr>
        <w:t>.</w:t>
      </w:r>
      <w:r w:rsidRPr="00071C01" w:rsidDel="009811E9">
        <w:rPr>
          <w:rFonts w:ascii="Times New Roman" w:eastAsia="Times New Roman" w:hAnsi="Times New Roman" w:cs="Times New Roman"/>
          <w:b/>
          <w:sz w:val="24"/>
          <w:szCs w:val="24"/>
          <w:lang w:eastAsia="pl-PL"/>
        </w:rPr>
        <w:t xml:space="preserve"> </w:t>
      </w:r>
      <w:r w:rsidRPr="00D37ED3">
        <w:rPr>
          <w:rFonts w:ascii="Times New Roman" w:eastAsia="Times New Roman" w:hAnsi="Times New Roman" w:cs="Times New Roman"/>
          <w:sz w:val="24"/>
          <w:szCs w:val="24"/>
          <w:lang w:eastAsia="pl-PL"/>
        </w:rPr>
        <w:t xml:space="preserve">Udzielenie na podstawie przepisów </w:t>
      </w:r>
      <w:hyperlink r:id="rId32" w:anchor="hiperlinkText.rpc?hiperlink=type=tresc:nro=Powszechny.799229&amp;full=1" w:tgtFrame="_parent" w:history="1">
        <w:r w:rsidRPr="003B06A7">
          <w:rPr>
            <w:rFonts w:ascii="Times New Roman" w:eastAsia="Times New Roman" w:hAnsi="Times New Roman" w:cs="Times New Roman"/>
            <w:sz w:val="24"/>
            <w:szCs w:val="24"/>
            <w:lang w:eastAsia="pl-PL"/>
          </w:rPr>
          <w:t>ustawy</w:t>
        </w:r>
      </w:hyperlink>
      <w:r w:rsidRPr="003B06A7">
        <w:rPr>
          <w:rFonts w:ascii="Times New Roman" w:eastAsia="Times New Roman" w:hAnsi="Times New Roman" w:cs="Times New Roman"/>
          <w:sz w:val="24"/>
          <w:szCs w:val="24"/>
          <w:lang w:eastAsia="pl-PL"/>
        </w:rPr>
        <w:t xml:space="preserve"> o ofercie publicznej:</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1)   zgody, o której mowa w </w:t>
      </w:r>
      <w:hyperlink r:id="rId33" w:anchor="hiperlinkText.rpc?hiperlink=type=tresc:nro=Powszechny.799229:part=a62u4&amp;full=1" w:tgtFrame="_parent" w:history="1">
        <w:r w:rsidRPr="001B3426">
          <w:rPr>
            <w:rFonts w:ascii="Times New Roman" w:eastAsia="Times New Roman" w:hAnsi="Times New Roman" w:cs="Times New Roman"/>
            <w:sz w:val="24"/>
            <w:szCs w:val="24"/>
            <w:lang w:eastAsia="pl-PL"/>
          </w:rPr>
          <w:t>art. 62 ust. 4</w:t>
        </w:r>
      </w:hyperlink>
      <w:r w:rsidRPr="001B3426">
        <w:rPr>
          <w:rFonts w:ascii="Times New Roman" w:eastAsia="Times New Roman" w:hAnsi="Times New Roman" w:cs="Times New Roman"/>
          <w:sz w:val="24"/>
          <w:szCs w:val="24"/>
          <w:lang w:eastAsia="pl-PL"/>
        </w:rPr>
        <w:t xml:space="preserve"> ustawy o ofercie publicznej - podlega opłacie w wysokości równowartości w złotych 4.500 euro;</w:t>
      </w:r>
    </w:p>
    <w:p w:rsidR="001B3426" w:rsidRPr="001B3426" w:rsidRDefault="001B3426" w:rsidP="001B3426">
      <w:pPr>
        <w:spacing w:before="120" w:after="0" w:line="240" w:lineRule="auto"/>
        <w:ind w:left="993" w:hanging="426"/>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t xml:space="preserve">  2)   zgody, o której mowa w </w:t>
      </w:r>
      <w:hyperlink r:id="rId34" w:anchor="hiperlinkText.rpc?hiperlink=type=tresc:nro=Powszechny.799229:part=a79u4(a)&amp;full=1" w:tgtFrame="_parent" w:history="1">
        <w:r w:rsidRPr="001B3426">
          <w:rPr>
            <w:rFonts w:ascii="Times New Roman" w:eastAsia="Times New Roman" w:hAnsi="Times New Roman" w:cs="Times New Roman"/>
            <w:sz w:val="24"/>
            <w:szCs w:val="24"/>
            <w:lang w:eastAsia="pl-PL"/>
          </w:rPr>
          <w:t>art. 79 ust. 4a</w:t>
        </w:r>
      </w:hyperlink>
      <w:r w:rsidRPr="001B3426">
        <w:rPr>
          <w:rFonts w:ascii="Times New Roman" w:eastAsia="Times New Roman" w:hAnsi="Times New Roman" w:cs="Times New Roman"/>
          <w:sz w:val="24"/>
          <w:szCs w:val="24"/>
          <w:lang w:eastAsia="pl-PL"/>
        </w:rPr>
        <w:t xml:space="preserve"> ustawy o ofercie publicznej - podlega opłacie w wysokości równowartości w złotych 4.500 euro.</w:t>
      </w:r>
    </w:p>
    <w:p w:rsidR="00EA33B2" w:rsidRPr="00071C01" w:rsidRDefault="001B3426" w:rsidP="00871583">
      <w:pPr>
        <w:spacing w:before="120" w:after="0" w:line="240" w:lineRule="auto"/>
        <w:ind w:firstLine="426"/>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
          <w:bCs/>
          <w:sz w:val="24"/>
          <w:szCs w:val="24"/>
          <w:lang w:eastAsia="pl-PL"/>
        </w:rPr>
        <w:t xml:space="preserve">§ </w:t>
      </w:r>
      <w:r w:rsidR="00871583">
        <w:rPr>
          <w:rFonts w:ascii="Times New Roman" w:eastAsia="Times New Roman" w:hAnsi="Times New Roman" w:cs="Times New Roman"/>
          <w:b/>
          <w:bCs/>
          <w:sz w:val="24"/>
          <w:szCs w:val="24"/>
          <w:lang w:eastAsia="pl-PL"/>
        </w:rPr>
        <w:t>12</w:t>
      </w: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bCs/>
          <w:sz w:val="24"/>
          <w:szCs w:val="24"/>
          <w:lang w:eastAsia="pl-PL"/>
        </w:rPr>
        <w:t xml:space="preserve"> Uzyskanie przez dany podmiot statusu agencji informacyjnej w związku z wydaniem decyzji, o której mowa w art. 58 ust. 1 ustawy o ofercie publicznej, podlega opłacie w wysokości równowartości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Pr="001B3426">
        <w:rPr>
          <w:rFonts w:ascii="Times New Roman" w:eastAsia="Times New Roman" w:hAnsi="Times New Roman" w:cs="Times New Roman"/>
          <w:b/>
          <w:sz w:val="24"/>
          <w:szCs w:val="24"/>
          <w:lang w:eastAsia="pl-PL"/>
        </w:rPr>
        <w:t>1</w:t>
      </w:r>
      <w:r w:rsidR="00871583">
        <w:rPr>
          <w:rFonts w:ascii="Times New Roman" w:eastAsia="Times New Roman" w:hAnsi="Times New Roman" w:cs="Times New Roman"/>
          <w:b/>
          <w:sz w:val="24"/>
          <w:szCs w:val="24"/>
          <w:lang w:eastAsia="pl-PL"/>
        </w:rPr>
        <w:t>3</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Udzielenie na podstawie przepisów </w:t>
      </w:r>
      <w:hyperlink r:id="rId35" w:anchor="hiperlinkText.rpc?hiperlink=type=tresc:nro=Powszechny.799229&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ofercie publicznej zezwolenia na przywrócenie akcjom formy dokumentu (zniesienie dematerializacji akcji) podlega opłacie w wysokości równowartości w złotych 4.000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Pr="001B3426">
        <w:rPr>
          <w:rFonts w:ascii="Times New Roman" w:eastAsia="Times New Roman" w:hAnsi="Times New Roman" w:cs="Times New Roman"/>
          <w:b/>
          <w:sz w:val="24"/>
          <w:szCs w:val="24"/>
          <w:lang w:eastAsia="pl-PL"/>
        </w:rPr>
        <w:t>1</w:t>
      </w:r>
      <w:r w:rsidR="00871583">
        <w:rPr>
          <w:rFonts w:ascii="Times New Roman" w:eastAsia="Times New Roman" w:hAnsi="Times New Roman" w:cs="Times New Roman"/>
          <w:b/>
          <w:sz w:val="24"/>
          <w:szCs w:val="24"/>
          <w:lang w:eastAsia="pl-PL"/>
        </w:rPr>
        <w:t>4</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Dokonanie wpisu instrumentów finansowych, będących przedmiotem oferty publicznej, do ewidencji prowadzonej na podstawie przepisów </w:t>
      </w:r>
      <w:hyperlink r:id="rId36" w:anchor="hiperlinkText.rpc?hiperlink=type=tresc:nro=Powszechny.799229&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ofercie publicznej podlega opłacie ewidencyjnej w wysokości:</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 xml:space="preserve">  1)   w przypadku papierów wartościowych o charakterze </w:t>
      </w:r>
      <w:proofErr w:type="spellStart"/>
      <w:r w:rsidRPr="001B3426">
        <w:rPr>
          <w:rFonts w:ascii="Times New Roman" w:eastAsia="Times New Roman" w:hAnsi="Times New Roman" w:cs="Times New Roman"/>
          <w:sz w:val="24"/>
          <w:szCs w:val="24"/>
          <w:lang w:eastAsia="pl-PL"/>
        </w:rPr>
        <w:t>nieudziałowym</w:t>
      </w:r>
      <w:proofErr w:type="spellEnd"/>
      <w:r w:rsidRPr="001B3426">
        <w:rPr>
          <w:rFonts w:ascii="Times New Roman" w:eastAsia="Times New Roman" w:hAnsi="Times New Roman" w:cs="Times New Roman"/>
          <w:sz w:val="24"/>
          <w:szCs w:val="24"/>
          <w:lang w:eastAsia="pl-PL"/>
        </w:rPr>
        <w:t xml:space="preserve"> – 0,015 % wartości papierów wartościowych objętych daną ofertą publiczną,</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2)   w przypadku pozostałych instrumentów finansowych, w tym kwitów depozytowych – 0,03 % wartości instrumentów finansowych objętych daną ofertą publiczną </w:t>
      </w:r>
    </w:p>
    <w:p w:rsidR="001B3426" w:rsidRPr="001B3426" w:rsidRDefault="001B3426" w:rsidP="001B3426">
      <w:pPr>
        <w:spacing w:before="120" w:after="0" w:line="240" w:lineRule="auto"/>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ustalonej na dzień poprzedzający datę przekazania do Komisji zawiadomienia, o którym mowa w </w:t>
      </w:r>
      <w:hyperlink r:id="rId37" w:anchor="hiperlinkText.rpc?hiperlink=type=tresc:nro=Powszechny.799229:part=a10u4&amp;full=1" w:tgtFrame="_parent" w:history="1">
        <w:r w:rsidRPr="001B3426">
          <w:rPr>
            <w:rFonts w:ascii="Times New Roman" w:eastAsia="Times New Roman" w:hAnsi="Times New Roman" w:cs="Times New Roman"/>
            <w:sz w:val="24"/>
            <w:szCs w:val="24"/>
            <w:lang w:eastAsia="pl-PL"/>
          </w:rPr>
          <w:t>art. 10 ust. 4</w:t>
        </w:r>
      </w:hyperlink>
      <w:r w:rsidRPr="001B3426">
        <w:rPr>
          <w:rFonts w:ascii="Times New Roman" w:eastAsia="Times New Roman" w:hAnsi="Times New Roman" w:cs="Times New Roman"/>
          <w:sz w:val="24"/>
          <w:szCs w:val="24"/>
          <w:lang w:eastAsia="pl-PL"/>
        </w:rPr>
        <w:t xml:space="preserve"> ustawy o ofercie publicznej, jednak nie więcej niż równowartość w złotych 12.500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Wartość, o której mowa w ust. 1  pkt 1, oblicza się jako:</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1)   iloczyn liczby subskrybowanych lub sprzedanych papierów wartościowych i ich wartości nominalnej;</w:t>
      </w:r>
    </w:p>
    <w:p w:rsidR="001B3426" w:rsidRPr="001B3426" w:rsidRDefault="001B3426" w:rsidP="001B3426">
      <w:pPr>
        <w:spacing w:before="120" w:after="0" w:line="240" w:lineRule="auto"/>
        <w:ind w:left="993" w:hanging="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2)   iloczyn liczby subskrybowanych lub sprzedanych papierów wartościowych i ich ceny emisyjnej (ceny sprzedaży), w przypadku braku wartości nominalnej.</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3. Wartość, o której mowa w ust. 1 pkt 2, oblicza się:</w:t>
      </w:r>
    </w:p>
    <w:p w:rsidR="001B3426" w:rsidRPr="001B3426" w:rsidRDefault="001B3426" w:rsidP="001B3426">
      <w:pPr>
        <w:spacing w:before="120" w:after="0" w:line="240" w:lineRule="auto"/>
        <w:ind w:left="993"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  dla instrumentów finansowych nowej emisji dokonanej w ramach oferty publicznej - jako iloczyn liczby subskrybowanych instrumentów finansowych i ich ceny emisyjnej;</w:t>
      </w:r>
    </w:p>
    <w:p w:rsidR="001B3426" w:rsidRPr="001B3426" w:rsidRDefault="001B3426" w:rsidP="001B3426">
      <w:pPr>
        <w:spacing w:before="120" w:after="0" w:line="240" w:lineRule="auto"/>
        <w:ind w:left="993"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dla instrumentów finansowych podlegających sprzedaży w ramach oferty publicznej - jako iloczyn liczby sprzedanych instrumentów finansowych i ich ceny sprzedaży;</w:t>
      </w:r>
    </w:p>
    <w:p w:rsidR="001B3426" w:rsidRPr="001B3426" w:rsidRDefault="001B3426" w:rsidP="001B3426">
      <w:pPr>
        <w:spacing w:before="120" w:after="0" w:line="240" w:lineRule="auto"/>
        <w:ind w:left="993" w:hanging="284"/>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t>3) dla emisji akcji wydawanych wspólnikom spółki przejmowanej w ramach łączenia się spółek poprzez przejęcie lub dla akcji wydawanych wspólnikom spółek łączących się w ramach łączenia się poprzez zawiązanie nowej spółki - jako wartość spółki przejmowanej lub spółek łączących się, ustaloną na dzień sporządzenia planu połączenia, zgodnie z obowiązującymi zasadami rachunkowości stosowanymi do rozliczenia łączenia się spółek.</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Pr="001B3426">
        <w:rPr>
          <w:rFonts w:ascii="Times New Roman" w:eastAsia="Times New Roman" w:hAnsi="Times New Roman" w:cs="Times New Roman"/>
          <w:b/>
          <w:sz w:val="24"/>
          <w:szCs w:val="24"/>
          <w:lang w:eastAsia="pl-PL"/>
        </w:rPr>
        <w:t>1</w:t>
      </w:r>
      <w:r w:rsidR="00871583">
        <w:rPr>
          <w:rFonts w:ascii="Times New Roman" w:eastAsia="Times New Roman" w:hAnsi="Times New Roman" w:cs="Times New Roman"/>
          <w:b/>
          <w:sz w:val="24"/>
          <w:szCs w:val="24"/>
          <w:lang w:eastAsia="pl-PL"/>
        </w:rPr>
        <w:t>5</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Udzielenie na podstawie przepisów </w:t>
      </w:r>
      <w:hyperlink r:id="rId38" w:anchor="hiperlinkText.rpc?hiperlink=type=tresc:nro=Powszechny.32880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funduszach inwestycyjnych:</w:t>
      </w:r>
    </w:p>
    <w:p w:rsidR="001B3426" w:rsidRPr="001B3426" w:rsidRDefault="001B3426" w:rsidP="001B3426">
      <w:pPr>
        <w:numPr>
          <w:ilvl w:val="0"/>
          <w:numId w:val="15"/>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zezwolenia na utworzenie funduszu inwestycyjnego – podlega opłacie w wysokości równowartości w złotych 4.000 euro, a w przypadku zezwolenia na utworzenie:</w:t>
      </w:r>
    </w:p>
    <w:p w:rsidR="001B3426" w:rsidRPr="001B3426" w:rsidRDefault="001B3426" w:rsidP="001B3426">
      <w:pPr>
        <w:tabs>
          <w:tab w:val="left" w:pos="680"/>
        </w:tabs>
        <w:spacing w:before="120" w:after="120"/>
        <w:ind w:left="1276"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a)</w:t>
      </w:r>
      <w:r w:rsidRPr="001B3426">
        <w:rPr>
          <w:rFonts w:ascii="Times New Roman" w:eastAsia="Times New Roman" w:hAnsi="Times New Roman" w:cs="Times New Roman"/>
          <w:sz w:val="24"/>
          <w:szCs w:val="24"/>
          <w:lang w:eastAsia="pl-PL"/>
        </w:rPr>
        <w:tab/>
        <w:t>funduszu z wydzielonymi subfunduszami - równowartości w złotych 4.500 euro,</w:t>
      </w:r>
    </w:p>
    <w:p w:rsidR="001B3426" w:rsidRPr="001B3426" w:rsidRDefault="001B3426" w:rsidP="001B3426">
      <w:pPr>
        <w:tabs>
          <w:tab w:val="left" w:pos="680"/>
        </w:tabs>
        <w:spacing w:before="120" w:after="120"/>
        <w:ind w:left="1276"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b)</w:t>
      </w:r>
      <w:r w:rsidRPr="001B3426">
        <w:rPr>
          <w:rFonts w:ascii="Times New Roman" w:eastAsia="Times New Roman" w:hAnsi="Times New Roman" w:cs="Times New Roman"/>
          <w:sz w:val="24"/>
          <w:szCs w:val="24"/>
          <w:lang w:eastAsia="pl-PL"/>
        </w:rPr>
        <w:tab/>
        <w:t>funduszu powiązanego będącego funduszem inwestycyjnym otwartym - równowartości w złotych 3.000 euro,</w:t>
      </w:r>
    </w:p>
    <w:p w:rsidR="001B3426" w:rsidRPr="001B3426" w:rsidRDefault="001B3426" w:rsidP="001B3426">
      <w:pPr>
        <w:tabs>
          <w:tab w:val="left" w:pos="680"/>
        </w:tabs>
        <w:spacing w:before="120" w:after="120"/>
        <w:ind w:left="1276"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c)</w:t>
      </w:r>
      <w:r w:rsidRPr="001B3426">
        <w:rPr>
          <w:rFonts w:ascii="Times New Roman" w:eastAsia="Times New Roman" w:hAnsi="Times New Roman" w:cs="Times New Roman"/>
          <w:sz w:val="24"/>
          <w:szCs w:val="24"/>
          <w:lang w:eastAsia="pl-PL"/>
        </w:rPr>
        <w:tab/>
        <w:t>funduszu powiązanego będącego specjalistycznym funduszem inwestycyjnym otwartym lub funduszem inwestycyjnym zamkniętym - równowartości w złotych 2.000 euro,</w:t>
      </w:r>
    </w:p>
    <w:p w:rsidR="001B3426" w:rsidRPr="001B3426" w:rsidRDefault="001B3426" w:rsidP="001B3426">
      <w:pPr>
        <w:tabs>
          <w:tab w:val="left" w:pos="680"/>
        </w:tabs>
        <w:spacing w:before="120" w:after="120"/>
        <w:ind w:left="1276"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w:t>
      </w:r>
      <w:r w:rsidRPr="001B3426">
        <w:rPr>
          <w:rFonts w:ascii="Times New Roman" w:eastAsia="Times New Roman" w:hAnsi="Times New Roman" w:cs="Times New Roman"/>
          <w:sz w:val="24"/>
          <w:szCs w:val="24"/>
          <w:lang w:eastAsia="pl-PL"/>
        </w:rPr>
        <w:tab/>
        <w:t>funduszu inwestycyjnego, który ma być funduszem przejmującym podczas połączenia krajowego funduszy – równowartości w złotych 4.500 euro,</w:t>
      </w:r>
    </w:p>
    <w:p w:rsidR="001B3426" w:rsidRPr="001B3426" w:rsidRDefault="001B3426" w:rsidP="001B3426">
      <w:pPr>
        <w:tabs>
          <w:tab w:val="left" w:pos="680"/>
        </w:tabs>
        <w:spacing w:before="120" w:after="120"/>
        <w:ind w:left="1276"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e)</w:t>
      </w:r>
      <w:r w:rsidRPr="001B3426">
        <w:rPr>
          <w:rFonts w:ascii="Times New Roman" w:eastAsia="Times New Roman" w:hAnsi="Times New Roman" w:cs="Times New Roman"/>
          <w:sz w:val="24"/>
          <w:szCs w:val="24"/>
          <w:lang w:eastAsia="pl-PL"/>
        </w:rPr>
        <w:tab/>
        <w:t>funduszu inwestycyjnego, który ma być funduszem przejmującym podczas połączenia transgranicznego przez utworzenie funduszu krajowego – równowartości w złotych 4.500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2)</w:t>
      </w:r>
      <w:r w:rsidRPr="001B3426">
        <w:rPr>
          <w:rFonts w:ascii="Times New Roman" w:eastAsia="Times New Roman" w:hAnsi="Times New Roman" w:cs="Times New Roman"/>
          <w:sz w:val="24"/>
          <w:szCs w:val="24"/>
          <w:lang w:eastAsia="pl-PL"/>
        </w:rPr>
        <w:tab/>
        <w:t>zezwolenia na zmianę statutu funduszu inwestycyjnego w zakresie dotyczącym utworzenia każdego nowego subfunduszu, za wyjątkiem utworzenia subfunduszu jako subfunduszu powiązanego w funduszu inwestycyjnym otwartym – podlega opłacie w wysokości równowartości w złotych 1.000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3)</w:t>
      </w:r>
      <w:r w:rsidRPr="001B3426">
        <w:rPr>
          <w:rFonts w:ascii="Times New Roman" w:eastAsia="Times New Roman" w:hAnsi="Times New Roman" w:cs="Times New Roman"/>
          <w:sz w:val="24"/>
          <w:szCs w:val="24"/>
          <w:lang w:eastAsia="pl-PL"/>
        </w:rPr>
        <w:tab/>
        <w:t>zezwolenia na zmianę statutu funduszu inwestycyjnego otwartego w zakresie dotyczącym utworzenia każdego nowego subfunduszu jako subfunduszu powiązanego - podlega opłacie w wysokości równowartości w złotych 3.000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4)</w:t>
      </w:r>
      <w:r w:rsidRPr="001B3426">
        <w:rPr>
          <w:rFonts w:ascii="Times New Roman" w:eastAsia="Times New Roman" w:hAnsi="Times New Roman" w:cs="Times New Roman"/>
          <w:sz w:val="24"/>
          <w:szCs w:val="24"/>
          <w:lang w:eastAsia="pl-PL"/>
        </w:rPr>
        <w:tab/>
        <w:t>zezwolenia na rozpoczęcie prowadzenia przez funduszu inwestycyjny otwarty działalności jako fundusz powiązany – podlega opłacie w wysokości równowartości w złotych 3.000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5)</w:t>
      </w:r>
      <w:r w:rsidRPr="001B3426">
        <w:rPr>
          <w:rFonts w:ascii="Times New Roman" w:eastAsia="Times New Roman" w:hAnsi="Times New Roman" w:cs="Times New Roman"/>
          <w:sz w:val="24"/>
          <w:szCs w:val="24"/>
          <w:lang w:eastAsia="pl-PL"/>
        </w:rPr>
        <w:tab/>
        <w:t>zezwolenia na rozpoczęcie prowadzenia działalności przez subfundusz wydzielony w funduszu inwestycyjnym otwartym jako subfundusz powiązany – podlega opłacie w wysokości równowartości w złotych 3.000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6)</w:t>
      </w:r>
      <w:r w:rsidRPr="001B3426">
        <w:rPr>
          <w:rFonts w:ascii="Times New Roman" w:eastAsia="Times New Roman" w:hAnsi="Times New Roman" w:cs="Times New Roman"/>
          <w:sz w:val="24"/>
          <w:szCs w:val="24"/>
          <w:lang w:eastAsia="pl-PL"/>
        </w:rPr>
        <w:tab/>
        <w:t>zezwolenia na dokonanie przez fundusz powiązany zmiany funduszu podstawowego – podlega opłacie w wysokości równowartości w złotych 4.000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7)</w:t>
      </w:r>
      <w:r w:rsidRPr="001B3426">
        <w:rPr>
          <w:rFonts w:ascii="Times New Roman" w:eastAsia="Times New Roman" w:hAnsi="Times New Roman" w:cs="Times New Roman"/>
          <w:sz w:val="24"/>
          <w:szCs w:val="24"/>
          <w:lang w:eastAsia="pl-PL"/>
        </w:rPr>
        <w:tab/>
        <w:t>zezwolenia na zaprzestanie przez fundusz powiązany prowadzenia działalności jako fundusz powiązany – podlega opłacie w wysokości równowartości w złotych 3.000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8)</w:t>
      </w:r>
      <w:r w:rsidRPr="001B3426">
        <w:rPr>
          <w:rFonts w:ascii="Times New Roman" w:eastAsia="Times New Roman" w:hAnsi="Times New Roman" w:cs="Times New Roman"/>
          <w:sz w:val="24"/>
          <w:szCs w:val="24"/>
          <w:lang w:eastAsia="pl-PL"/>
        </w:rPr>
        <w:tab/>
        <w:t>zezwolenia na prowadzenie przez fundusz powiązany działalności jako fundusz powiązany dotychczasowego funduszu podstawowego także po jego połączeniu lub jako fundusz powiązany funduszu zagranicznego będącego dotychczas funduszem podstawowym także po dokonaniu jego podziału – podlega opłacie w wysokości równowartości w złotych 4.000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9)</w:t>
      </w:r>
      <w:r w:rsidRPr="001B3426">
        <w:rPr>
          <w:rFonts w:ascii="Times New Roman" w:eastAsia="Times New Roman" w:hAnsi="Times New Roman" w:cs="Times New Roman"/>
          <w:sz w:val="24"/>
          <w:szCs w:val="24"/>
          <w:lang w:eastAsia="pl-PL"/>
        </w:rPr>
        <w:tab/>
        <w:t>zezwolenia na zmianę statutu funduszu inwestycyjnego w innym zakresie niż wskazany w pkt 2 lub 3 - podlega opłacie w wysokości równowartości w złotych 300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10)</w:t>
      </w:r>
      <w:r w:rsidRPr="001B3426">
        <w:rPr>
          <w:rFonts w:ascii="Times New Roman" w:eastAsia="Times New Roman" w:hAnsi="Times New Roman" w:cs="Times New Roman"/>
          <w:sz w:val="24"/>
          <w:szCs w:val="24"/>
          <w:lang w:eastAsia="pl-PL"/>
        </w:rPr>
        <w:tab/>
        <w:t>zezwolenia na zbywanie i odkupywanie jednostek uczestnictwa lub tytułów uczestnictwa za pośrednictwem podmiotu innego niż podmiot prowadzący działalność maklerską - podlega opłacie w wysokości równowartości w złotych 1.000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11)</w:t>
      </w:r>
      <w:r w:rsidRPr="001B3426">
        <w:rPr>
          <w:rFonts w:ascii="Times New Roman" w:eastAsia="Times New Roman" w:hAnsi="Times New Roman" w:cs="Times New Roman"/>
          <w:sz w:val="24"/>
          <w:szCs w:val="24"/>
          <w:lang w:eastAsia="pl-PL"/>
        </w:rPr>
        <w:tab/>
        <w:t>zezwolenia na wykonywanie działalności przez towarzystwo funduszy inwestycyjnych - podlega opłacie w wysokości równowartości w złotych 4.500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12)</w:t>
      </w:r>
      <w:r w:rsidRPr="001B3426">
        <w:rPr>
          <w:rFonts w:ascii="Times New Roman" w:eastAsia="Times New Roman" w:hAnsi="Times New Roman" w:cs="Times New Roman"/>
          <w:sz w:val="24"/>
          <w:szCs w:val="24"/>
          <w:lang w:eastAsia="pl-PL"/>
        </w:rPr>
        <w:tab/>
        <w:t xml:space="preserve">zezwolenia na wykonywanie działalności przez towarzystwo, które wraz z wnioskiem o wydanie takiego zezwolenia złożyło wyłącznie wniosek o wydanie zezwolenia na utworzenie funduszu inwestycyjnego otwartego, co do którego zawarło umowę, o której mowa w art. 4 ust. 1a ustawy o funduszach inwestycyjnych oraz nie będzie zarządzać funduszami, o których mowa w art. 15 </w:t>
      </w:r>
      <w:r w:rsidRPr="001B3426">
        <w:rPr>
          <w:rFonts w:ascii="Times New Roman" w:eastAsia="Times New Roman" w:hAnsi="Times New Roman" w:cs="Times New Roman"/>
          <w:sz w:val="24"/>
          <w:szCs w:val="24"/>
          <w:lang w:eastAsia="pl-PL"/>
        </w:rPr>
        <w:lastRenderedPageBreak/>
        <w:t>ust. 1a ustawy o funduszach inwestycyjnych – podlega opłacie w wysokości równowartości w złotych 3.000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13)</w:t>
      </w:r>
      <w:r w:rsidRPr="001B3426">
        <w:rPr>
          <w:rFonts w:ascii="Times New Roman" w:eastAsia="Times New Roman" w:hAnsi="Times New Roman" w:cs="Times New Roman"/>
          <w:sz w:val="24"/>
          <w:szCs w:val="24"/>
          <w:lang w:eastAsia="pl-PL"/>
        </w:rPr>
        <w:tab/>
        <w:t>zezwolenia na doradztwo inwestycyjne - podlega opłacie w wysokości równowartości w złotych 2.000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14)</w:t>
      </w:r>
      <w:r w:rsidRPr="001B3426">
        <w:rPr>
          <w:rFonts w:ascii="Times New Roman" w:eastAsia="Times New Roman" w:hAnsi="Times New Roman" w:cs="Times New Roman"/>
          <w:sz w:val="24"/>
          <w:szCs w:val="24"/>
          <w:lang w:eastAsia="pl-PL"/>
        </w:rPr>
        <w:tab/>
        <w:t>zezwolenia na zarządzanie portfelami, w których skład wchodzi jeden lub większa liczba instrumentów finansowych - podlega opłacie w wysokości równowartości w złotych 2.500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15)</w:t>
      </w:r>
      <w:r w:rsidRPr="001B3426">
        <w:rPr>
          <w:rFonts w:ascii="Times New Roman" w:eastAsia="Times New Roman" w:hAnsi="Times New Roman" w:cs="Times New Roman"/>
          <w:sz w:val="24"/>
          <w:szCs w:val="24"/>
          <w:lang w:eastAsia="pl-PL"/>
        </w:rPr>
        <w:tab/>
        <w:t>zezwolenia na zarządzanie zbiorczym portfelem papierów wartościowych - podlega opłacie w wysokości równowartości w złotych 2.500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16)</w:t>
      </w:r>
      <w:r w:rsidRPr="001B3426">
        <w:rPr>
          <w:rFonts w:ascii="Times New Roman" w:eastAsia="Times New Roman" w:hAnsi="Times New Roman" w:cs="Times New Roman"/>
          <w:sz w:val="24"/>
          <w:szCs w:val="24"/>
          <w:lang w:eastAsia="pl-PL"/>
        </w:rPr>
        <w:tab/>
        <w:t xml:space="preserve">zezwolenia na zarządzanie </w:t>
      </w:r>
      <w:proofErr w:type="spellStart"/>
      <w:r w:rsidRPr="001B3426">
        <w:rPr>
          <w:rFonts w:ascii="Times New Roman" w:eastAsia="Times New Roman" w:hAnsi="Times New Roman" w:cs="Times New Roman"/>
          <w:sz w:val="24"/>
          <w:szCs w:val="24"/>
          <w:lang w:eastAsia="pl-PL"/>
        </w:rPr>
        <w:t>sekurytyzowanymi</w:t>
      </w:r>
      <w:proofErr w:type="spellEnd"/>
      <w:r w:rsidRPr="001B3426">
        <w:rPr>
          <w:rFonts w:ascii="Times New Roman" w:eastAsia="Times New Roman" w:hAnsi="Times New Roman" w:cs="Times New Roman"/>
          <w:sz w:val="24"/>
          <w:szCs w:val="24"/>
          <w:lang w:eastAsia="pl-PL"/>
        </w:rPr>
        <w:t xml:space="preserve"> wierzytelnościami funduszu </w:t>
      </w:r>
      <w:proofErr w:type="spellStart"/>
      <w:r w:rsidRPr="001B3426">
        <w:rPr>
          <w:rFonts w:ascii="Times New Roman" w:eastAsia="Times New Roman" w:hAnsi="Times New Roman" w:cs="Times New Roman"/>
          <w:sz w:val="24"/>
          <w:szCs w:val="24"/>
          <w:lang w:eastAsia="pl-PL"/>
        </w:rPr>
        <w:t>sekurytyzacyjnego</w:t>
      </w:r>
      <w:proofErr w:type="spellEnd"/>
      <w:r w:rsidRPr="001B3426">
        <w:rPr>
          <w:rFonts w:ascii="Times New Roman" w:eastAsia="Times New Roman" w:hAnsi="Times New Roman" w:cs="Times New Roman"/>
          <w:sz w:val="24"/>
          <w:szCs w:val="24"/>
          <w:lang w:eastAsia="pl-PL"/>
        </w:rPr>
        <w:t xml:space="preserve"> przez podmiot inny niż towarzystwo funduszy inwestycyjnych - podlega opłacie w wysokości równowartości w złotych 2.000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17)</w:t>
      </w:r>
      <w:r w:rsidRPr="001B3426">
        <w:rPr>
          <w:rFonts w:ascii="Times New Roman" w:eastAsia="Times New Roman" w:hAnsi="Times New Roman" w:cs="Times New Roman"/>
          <w:sz w:val="24"/>
          <w:szCs w:val="24"/>
          <w:lang w:eastAsia="pl-PL"/>
        </w:rPr>
        <w:tab/>
        <w:t>zezwolenia na przekształcenie funduszy inwestycyjnych otwartych lub specjalistycznych funduszy inwestycyjnych otwartych, zarządzanych przez to samo towarzystwo funduszy inwestycyjnych, w jeden fundusz inwestycyjny z wydzielonymi subfunduszami, w trybie określonym w art. 240 ustawy o funduszach inwestycyjnych - podlega opłacie w wysokości równowartości w złotych 4.500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18)</w:t>
      </w:r>
      <w:r w:rsidRPr="001B3426">
        <w:rPr>
          <w:rFonts w:ascii="Times New Roman" w:eastAsia="Times New Roman" w:hAnsi="Times New Roman" w:cs="Times New Roman"/>
          <w:sz w:val="24"/>
          <w:szCs w:val="24"/>
          <w:lang w:eastAsia="pl-PL"/>
        </w:rPr>
        <w:tab/>
        <w:t>zezwolenia na przekształcenie funduszu inwestycyjnego otwartego w nowy subfundusz istniejącego funduszu inwestycyjnego otwartego z wydzielonymi subfunduszami zarządzanego przez to samo towarzystwo, w trybie określonym w art. 240 ustawy o funduszach inwestycyjnych - podlega opłacie w wysokości równowartości w złotych 4.000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19)</w:t>
      </w:r>
      <w:r w:rsidRPr="001B3426">
        <w:rPr>
          <w:rFonts w:ascii="Times New Roman" w:eastAsia="Times New Roman" w:hAnsi="Times New Roman" w:cs="Times New Roman"/>
          <w:sz w:val="24"/>
          <w:szCs w:val="24"/>
          <w:lang w:eastAsia="pl-PL"/>
        </w:rPr>
        <w:tab/>
        <w:t>zezwolenia na przekształcenie specjalistycznego funduszu inwestycyjnego otwartego w nowy subfundusz istniejącego specjalistycznego funduszu inwestycyjnego otwartego z wydzielonymi subfunduszami zarządzanego przez to samo towarzystwo, w trybie określonym w art. 240 ustawy o funduszach inwestycyjnych - podlega opłacie w wysokości równowartości w złotych 4.000 euro;</w:t>
      </w:r>
    </w:p>
    <w:p w:rsidR="001B3426" w:rsidRPr="001B3426" w:rsidRDefault="001B3426" w:rsidP="001B3426">
      <w:pPr>
        <w:tabs>
          <w:tab w:val="right" w:pos="284"/>
          <w:tab w:val="left" w:pos="408"/>
        </w:tabs>
        <w:spacing w:before="120" w:after="120"/>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20)</w:t>
      </w:r>
      <w:r w:rsidRPr="001B3426">
        <w:rPr>
          <w:rFonts w:ascii="Times New Roman" w:eastAsia="Times New Roman" w:hAnsi="Times New Roman" w:cs="Times New Roman"/>
          <w:sz w:val="24"/>
          <w:szCs w:val="24"/>
          <w:lang w:eastAsia="pl-PL"/>
        </w:rPr>
        <w:tab/>
        <w:t>zezwolenia na przejęcie przez towarzystwo funduszy inwestycyjnych zarządzania funduszem inwestycyjnym otwartym – podlega opłacie w wysokości równowartości w złotych 3.500 euro;</w:t>
      </w:r>
    </w:p>
    <w:p w:rsidR="001B3426" w:rsidRPr="001B3426" w:rsidRDefault="001B3426" w:rsidP="001B3426">
      <w:pPr>
        <w:spacing w:before="120" w:after="120" w:line="240" w:lineRule="auto"/>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21)</w:t>
      </w:r>
      <w:r w:rsidRPr="001B3426">
        <w:rPr>
          <w:rFonts w:ascii="Times New Roman" w:eastAsia="Times New Roman" w:hAnsi="Times New Roman" w:cs="Times New Roman"/>
          <w:sz w:val="24"/>
          <w:szCs w:val="24"/>
          <w:lang w:eastAsia="pl-PL"/>
        </w:rPr>
        <w:tab/>
        <w:t>zezwolenia na przejęcie przez spółkę zarządzającą zarządzania funduszem inwestycyjnym otwartym i prowadzenia jego spraw – podlega opłacie w wysokości równowartości w złotych 3.500 euro.</w:t>
      </w:r>
    </w:p>
    <w:p w:rsidR="001B3426" w:rsidRPr="001B3426" w:rsidRDefault="001B3426" w:rsidP="001B3426">
      <w:pPr>
        <w:spacing w:before="120" w:after="0" w:line="240" w:lineRule="auto"/>
        <w:ind w:firstLine="426"/>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t>2. W przypadku udzielenia zezwolenia na utworzenie funduszu inwestycyjnego, o którym mowa w ust. 1 pkt 1, którego certyfikaty inwestycyjne podlegają opłacie ewidencyjnej, wysokość opłaty ewidencyjnej zmniejsza się o wysokość opłaty za zezwolenie na utworzenie takiego funduszu.</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16</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Udzielenie na podstawie przepisów </w:t>
      </w:r>
      <w:hyperlink r:id="rId39" w:anchor="hiperlinkText.rpc?hiperlink=type=tresc:nro=Powszechny.328803&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funduszach inwestycyjnych:</w:t>
      </w:r>
    </w:p>
    <w:p w:rsidR="001B3426" w:rsidRPr="001B3426" w:rsidRDefault="001B3426" w:rsidP="001B3426">
      <w:pPr>
        <w:spacing w:before="120" w:after="0" w:line="240" w:lineRule="auto"/>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 xml:space="preserve">1)   zgody na zmianę depozytariusza, o której mowa w </w:t>
      </w:r>
      <w:hyperlink r:id="rId40" w:anchor="hiperlinkText.rpc?hiperlink=type=tresc:nro=Powszechny.328803:part=a80&amp;full=1" w:tgtFrame="_parent" w:history="1">
        <w:r w:rsidRPr="001B3426">
          <w:rPr>
            <w:rFonts w:ascii="Times New Roman" w:eastAsia="Times New Roman" w:hAnsi="Times New Roman" w:cs="Times New Roman"/>
            <w:sz w:val="24"/>
            <w:szCs w:val="24"/>
            <w:lang w:eastAsia="pl-PL"/>
          </w:rPr>
          <w:t>art. 80</w:t>
        </w:r>
      </w:hyperlink>
      <w:r w:rsidRPr="001B3426">
        <w:rPr>
          <w:rFonts w:ascii="Times New Roman" w:eastAsia="Times New Roman" w:hAnsi="Times New Roman" w:cs="Times New Roman"/>
          <w:sz w:val="24"/>
          <w:szCs w:val="24"/>
          <w:lang w:eastAsia="pl-PL"/>
        </w:rPr>
        <w:t xml:space="preserve"> ustawy o funduszach inwestycyjnych - podlega opłacie w wysokości równowartości w złotych 1.000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2)   zgody na dokonywanie przez fundusz inwestycyjny czynności prawnych, o których mowa w </w:t>
      </w:r>
      <w:hyperlink r:id="rId41" w:anchor="hiperlinkText.rpc?hiperlink=type=tresc:nro=Powszechny.328803:part=a93u2&amp;full=1" w:tgtFrame="_parent" w:history="1">
        <w:r w:rsidRPr="001B3426">
          <w:rPr>
            <w:rFonts w:ascii="Times New Roman" w:eastAsia="Times New Roman" w:hAnsi="Times New Roman" w:cs="Times New Roman"/>
            <w:sz w:val="24"/>
            <w:szCs w:val="24"/>
            <w:lang w:eastAsia="pl-PL"/>
          </w:rPr>
          <w:t>art. 93 ust. 2</w:t>
        </w:r>
      </w:hyperlink>
      <w:r w:rsidRPr="001B3426">
        <w:rPr>
          <w:rFonts w:ascii="Times New Roman" w:eastAsia="Times New Roman" w:hAnsi="Times New Roman" w:cs="Times New Roman"/>
          <w:sz w:val="24"/>
          <w:szCs w:val="24"/>
          <w:lang w:eastAsia="pl-PL"/>
        </w:rPr>
        <w:t xml:space="preserve"> ustawy o funduszach inwestycyjnych - podlega opłacie w wysokości równowartości w złotych 2.000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3)   zgody na lokowanie aktywów funduszu w depozyty w bankach zagranicznych, o której mowa w </w:t>
      </w:r>
      <w:hyperlink r:id="rId42" w:anchor="hiperlinkText.rpc?hiperlink=type=tresc:nro=Powszechny.328803:part=a93u3&amp;full=1" w:tgtFrame="_parent" w:history="1">
        <w:r w:rsidRPr="001B3426">
          <w:rPr>
            <w:rFonts w:ascii="Times New Roman" w:eastAsia="Times New Roman" w:hAnsi="Times New Roman" w:cs="Times New Roman"/>
            <w:sz w:val="24"/>
            <w:szCs w:val="24"/>
            <w:lang w:eastAsia="pl-PL"/>
          </w:rPr>
          <w:t>art. 93 ust. 3</w:t>
        </w:r>
      </w:hyperlink>
      <w:r w:rsidRPr="001B3426">
        <w:rPr>
          <w:rFonts w:ascii="Times New Roman" w:eastAsia="Times New Roman" w:hAnsi="Times New Roman" w:cs="Times New Roman"/>
          <w:sz w:val="24"/>
          <w:szCs w:val="24"/>
          <w:lang w:eastAsia="pl-PL"/>
        </w:rPr>
        <w:t xml:space="preserve"> ustawy o funduszach inwestycyjnych - podlega opłacie w wysokości równowartości w złotych 2.000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4) zgody na połączenie wewnętrzne funduszy – podlega opłacie w wysokości równowartości w złotych 1.000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5) zgody na połączenie krajowe funduszy – podlega opłacie w wysokości równowartości w złotych 3.000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6)   zgody na połączenie transgraniczne przez przejęcie funduszu krajowego – podlega opłacie w wysokości równowartości w złotych 3.000 euro;</w:t>
      </w:r>
    </w:p>
    <w:p w:rsidR="001B3426" w:rsidRPr="001B3426" w:rsidRDefault="001B3426" w:rsidP="001B3426">
      <w:pPr>
        <w:spacing w:before="120" w:after="0" w:line="240" w:lineRule="auto"/>
        <w:ind w:left="1134" w:hanging="425"/>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7)   zgody na połączenie transgraniczne przez utworzenie funduszu zagranicznego – – podlega opłacie w wysokości równowartości w złotych 3.000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17</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Udzielenie na podstawie przepisów </w:t>
      </w:r>
      <w:hyperlink r:id="rId43" w:anchor="hiperlinkText.rpc?hiperlink=type=tresc:nro=Powszechny.831417&amp;full=1" w:tgtFrame="_parent" w:history="1">
        <w:r w:rsidRPr="001B3426">
          <w:rPr>
            <w:rFonts w:ascii="Times New Roman" w:eastAsia="Times New Roman" w:hAnsi="Times New Roman" w:cs="Times New Roman"/>
            <w:sz w:val="24"/>
            <w:szCs w:val="24"/>
            <w:lang w:eastAsia="pl-PL"/>
          </w:rPr>
          <w:t>ustawy</w:t>
        </w:r>
      </w:hyperlink>
      <w:r w:rsidRPr="001B3426">
        <w:rPr>
          <w:rFonts w:ascii="Times New Roman" w:eastAsia="Times New Roman" w:hAnsi="Times New Roman" w:cs="Times New Roman"/>
          <w:sz w:val="24"/>
          <w:szCs w:val="24"/>
          <w:lang w:eastAsia="pl-PL"/>
        </w:rPr>
        <w:t xml:space="preserve"> o giełdach towarowych:</w:t>
      </w:r>
    </w:p>
    <w:p w:rsidR="001B3426" w:rsidRPr="001B3426"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1)   zezwolenia na prowadzenie giełdy towarowej - podlega opłacie w wysokości równowartości w złotych 4.500 euro;</w:t>
      </w:r>
    </w:p>
    <w:p w:rsidR="001B3426" w:rsidRPr="001B3426"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2)   zezwolenia udzielone spółce prowadzącej giełdę towarową na dopuszczenie do obrotu na tej giełdzie praw majątkowych, o których mowa w </w:t>
      </w:r>
      <w:hyperlink r:id="rId44" w:anchor="hiperlinkText.rpc?hiperlink=type=tresc:nro=Powszechny.831417:part=a2p2le&amp;full=1" w:tgtFrame="_parent" w:history="1">
        <w:r w:rsidRPr="001B3426">
          <w:rPr>
            <w:rFonts w:ascii="Times New Roman" w:eastAsia="Times New Roman" w:hAnsi="Times New Roman" w:cs="Times New Roman"/>
            <w:sz w:val="24"/>
            <w:szCs w:val="24"/>
            <w:lang w:eastAsia="pl-PL"/>
          </w:rPr>
          <w:t>art. 2 pkt 2 lit. e</w:t>
        </w:r>
      </w:hyperlink>
      <w:r w:rsidRPr="001B3426">
        <w:rPr>
          <w:rFonts w:ascii="Times New Roman" w:eastAsia="Times New Roman" w:hAnsi="Times New Roman" w:cs="Times New Roman"/>
          <w:sz w:val="24"/>
          <w:szCs w:val="24"/>
          <w:lang w:eastAsia="pl-PL"/>
        </w:rPr>
        <w:t xml:space="preserve"> ustawy o giełdach towarowych - podlega opłacie w wysokości równowartości w złotych 3.000 euro;</w:t>
      </w:r>
    </w:p>
    <w:p w:rsidR="001B3426" w:rsidRPr="001B3426"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  3)   zezwolenia udzielone towarowemu domowi maklerskiemu lub zagranicznej osobie prawnej, o której mowa w </w:t>
      </w:r>
      <w:hyperlink r:id="rId45" w:anchor="hiperlinkText.rpc?hiperlink=type=tresc:nro=Powszechny.831417:part=a50u1&amp;full=1" w:tgtFrame="_parent" w:history="1">
        <w:r w:rsidRPr="001B3426">
          <w:rPr>
            <w:rFonts w:ascii="Times New Roman" w:eastAsia="Times New Roman" w:hAnsi="Times New Roman" w:cs="Times New Roman"/>
            <w:sz w:val="24"/>
            <w:szCs w:val="24"/>
            <w:lang w:eastAsia="pl-PL"/>
          </w:rPr>
          <w:t>art. 50 ust. 1</w:t>
        </w:r>
      </w:hyperlink>
      <w:r w:rsidRPr="001B3426">
        <w:rPr>
          <w:rFonts w:ascii="Times New Roman" w:eastAsia="Times New Roman" w:hAnsi="Times New Roman" w:cs="Times New Roman"/>
          <w:sz w:val="24"/>
          <w:szCs w:val="24"/>
          <w:lang w:eastAsia="pl-PL"/>
        </w:rPr>
        <w:t xml:space="preserve"> ustawy o giełdach towarowych:</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a)  w zakresie oferowania w obrocie giełdowym towarów giełdowych, o których mowa w </w:t>
      </w:r>
      <w:hyperlink r:id="rId46" w:anchor="hiperlinkText.rpc?hiperlink=type=tresc:nro=Powszechny.831417:part=a2p2le&amp;full=1" w:tgtFrame="_parent" w:history="1">
        <w:r w:rsidRPr="001B3426">
          <w:rPr>
            <w:rFonts w:ascii="Times New Roman" w:eastAsia="Times New Roman" w:hAnsi="Times New Roman" w:cs="Times New Roman"/>
            <w:sz w:val="24"/>
            <w:szCs w:val="24"/>
            <w:lang w:eastAsia="pl-PL"/>
          </w:rPr>
          <w:t>art. 2 pkt 2 lit. e</w:t>
        </w:r>
      </w:hyperlink>
      <w:r w:rsidRPr="001B3426">
        <w:rPr>
          <w:rFonts w:ascii="Times New Roman" w:eastAsia="Times New Roman" w:hAnsi="Times New Roman" w:cs="Times New Roman"/>
          <w:sz w:val="24"/>
          <w:szCs w:val="24"/>
          <w:lang w:eastAsia="pl-PL"/>
        </w:rPr>
        <w:t xml:space="preserve"> ustawy o giełdach towarowych - podlega opłacie w wysokości równowartości w złotych 1.000 euro,</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b)  w zakresie nabywania lub zbywania towarów giełdowych na cudzy rachunek w ramach świadczenia usług brokerskich - podlega opłacie w wysokości równowartości w złotych 1.500 euro,</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c)  w zakresie prowadzenia rachunków lub rejestrów towarów giełdowych w obrocie giełdowym, z wyłączeniem towarów giełdowych będących oznaczonymi co do gatunku rzeczami - podlega opłacie w wysokości równowartości w złotych 1.000 euro,</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  w zakresie doradztwa w zakresie obrotu giełdowego - podlega opłacie w wysokości równowartości w złotych 500 euro,</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e)  w zakresie zarządzania cudzym pakietem praw majątkowych na zlecenie, w zakresie inwestycji dokonywanych na giełdach towarowych - podlega opłacie w wysokości równowartości w złotych 4.500 euro,</w:t>
      </w:r>
    </w:p>
    <w:p w:rsidR="001B3426" w:rsidRPr="001B3426" w:rsidRDefault="001B3426" w:rsidP="001B3426">
      <w:pPr>
        <w:spacing w:before="120" w:after="0" w:line="240" w:lineRule="auto"/>
        <w:ind w:left="1701" w:hanging="283"/>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f)  w zakresie pośrednictwa w nabywaniu lub zbywaniu towarów giełdowych, o których mowa w </w:t>
      </w:r>
      <w:hyperlink r:id="rId47" w:anchor="hiperlinkText.rpc?hiperlink=type=tresc:nro=Powszechny.831417:part=a2p2le&amp;full=1" w:tgtFrame="_parent" w:history="1">
        <w:r w:rsidRPr="001B3426">
          <w:rPr>
            <w:rFonts w:ascii="Times New Roman" w:eastAsia="Times New Roman" w:hAnsi="Times New Roman" w:cs="Times New Roman"/>
            <w:sz w:val="24"/>
            <w:szCs w:val="24"/>
            <w:lang w:eastAsia="pl-PL"/>
          </w:rPr>
          <w:t>art. 2 pkt 2 lit. e</w:t>
        </w:r>
      </w:hyperlink>
      <w:r w:rsidRPr="001B3426">
        <w:rPr>
          <w:rFonts w:ascii="Times New Roman" w:eastAsia="Times New Roman" w:hAnsi="Times New Roman" w:cs="Times New Roman"/>
          <w:sz w:val="24"/>
          <w:szCs w:val="24"/>
          <w:lang w:eastAsia="pl-PL"/>
        </w:rPr>
        <w:t xml:space="preserve"> ustawy o giełdach towarowych, </w:t>
      </w:r>
      <w:r w:rsidRPr="001B3426">
        <w:rPr>
          <w:rFonts w:ascii="Times New Roman" w:eastAsia="Times New Roman" w:hAnsi="Times New Roman" w:cs="Times New Roman"/>
          <w:sz w:val="24"/>
          <w:szCs w:val="24"/>
          <w:lang w:eastAsia="pl-PL"/>
        </w:rPr>
        <w:lastRenderedPageBreak/>
        <w:t>będących w obrocie na zagranicznych giełdach towarowych - podlega opłacie w wysokości równowartości w złotych 4.500 euro;</w:t>
      </w:r>
    </w:p>
    <w:p w:rsidR="001B3426" w:rsidRPr="001B3426"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4)  zgody na dokonanie zmian w statucie lub regulaminie spółki prowadzącej giełdę towarową - podlega opłacie w wysokości równowartości w złotych 300 euro;</w:t>
      </w:r>
    </w:p>
    <w:p w:rsidR="001B3426" w:rsidRPr="001B3426"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5)</w:t>
      </w:r>
      <w:r w:rsidRPr="001B3426">
        <w:rPr>
          <w:rFonts w:ascii="Times New Roman" w:eastAsia="Times New Roman" w:hAnsi="Times New Roman" w:cs="Times New Roman"/>
          <w:sz w:val="24"/>
          <w:szCs w:val="24"/>
          <w:lang w:eastAsia="pl-PL"/>
        </w:rPr>
        <w:tab/>
        <w:t>zgody na dokonanie zmian w statucie lub regulaminie spółki prowadzącej giełdową izbę rozrachunkową - podlega opłacie w wysokości równowartości w złotych 300 euro;</w:t>
      </w:r>
    </w:p>
    <w:p w:rsidR="00B50404" w:rsidRDefault="001B3426" w:rsidP="001B3426">
      <w:pPr>
        <w:spacing w:before="120" w:after="0" w:line="240" w:lineRule="auto"/>
        <w:ind w:left="1276" w:hanging="425"/>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6)</w:t>
      </w:r>
      <w:r w:rsidRPr="001B3426">
        <w:rPr>
          <w:rFonts w:ascii="Times New Roman" w:eastAsia="Times New Roman" w:hAnsi="Times New Roman" w:cs="Times New Roman"/>
          <w:sz w:val="24"/>
          <w:szCs w:val="24"/>
          <w:lang w:eastAsia="pl-PL"/>
        </w:rPr>
        <w:tab/>
        <w:t>zgody na dokonanie zmiany w regulaminie Krajowego Depozytu lub spółki, której Krajowy Depozyt przekazał wykonywanie czynności z zakresu zadań, o których mowa w art. 48 ust. 2 ustawy o obrocie instrumentami finansowymi, pełniących funkcję giełdowej izby rozrachunkowej - podlega opłacie w wysokości równowartości w złotych 300 euro</w:t>
      </w:r>
      <w:r w:rsidR="00B50404">
        <w:rPr>
          <w:rFonts w:ascii="Times New Roman" w:eastAsia="Times New Roman" w:hAnsi="Times New Roman" w:cs="Times New Roman"/>
          <w:sz w:val="24"/>
          <w:szCs w:val="24"/>
          <w:lang w:eastAsia="pl-PL"/>
        </w:rPr>
        <w:t>;</w:t>
      </w:r>
    </w:p>
    <w:p w:rsidR="00B50404" w:rsidRDefault="00B50404" w:rsidP="001B3426">
      <w:pPr>
        <w:spacing w:before="120" w:after="0" w:line="240" w:lineRule="auto"/>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sz w:val="24"/>
          <w:szCs w:val="24"/>
          <w:lang w:eastAsia="pl-PL"/>
        </w:rPr>
        <w:tab/>
        <w:t>zezwolenia udzielone podmiotom, o których mowa w art. 50b ust. 1 ustawy o giełdach towarowych, na prowadzenie</w:t>
      </w:r>
      <w:r w:rsidRPr="001B3426">
        <w:rPr>
          <w:rFonts w:ascii="Times New Roman" w:eastAsia="Times New Roman" w:hAnsi="Times New Roman" w:cs="Times New Roman"/>
          <w:sz w:val="24"/>
          <w:szCs w:val="24"/>
          <w:lang w:eastAsia="pl-PL"/>
        </w:rPr>
        <w:t xml:space="preserve"> rachunków lub rejestrów towarów giełdowych w obrocie giełdowym, z wyłączeniem towarów giełdowych będących oznaczonymi co do gatunku rzeczami - podlega opłacie w wysokości równowartości w złotych 1.000 euro.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W przypadku gdy wniosek o udzielenie zezwolenia dotyczy więcej niż jednej czynności, o których mowa w ust. 1 pkt 3, łączna wysokość opłat nie może być wyższa niż równowartość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t xml:space="preserve">3. Przepis ust. 1 pkt 3 lit. c stosuje się odpowiednio do podmiotów, o których mowa w </w:t>
      </w:r>
      <w:hyperlink r:id="rId48" w:anchor="hiperlinkText.rpc?hiperlink=type=tresc:nro=Powszechny.831417:part=a9u3p4&amp;full=1" w:tgtFrame="_parent" w:history="1">
        <w:r w:rsidRPr="001B3426">
          <w:rPr>
            <w:rFonts w:ascii="Times New Roman" w:eastAsia="Times New Roman" w:hAnsi="Times New Roman" w:cs="Times New Roman"/>
            <w:sz w:val="24"/>
            <w:szCs w:val="24"/>
            <w:lang w:eastAsia="pl-PL"/>
          </w:rPr>
          <w:t>art. 9 ust. 3 pkt 4</w:t>
        </w:r>
      </w:hyperlink>
      <w:r w:rsidRPr="001B3426">
        <w:rPr>
          <w:rFonts w:ascii="Times New Roman" w:eastAsia="Times New Roman" w:hAnsi="Times New Roman" w:cs="Times New Roman"/>
          <w:sz w:val="24"/>
          <w:szCs w:val="24"/>
          <w:lang w:eastAsia="pl-PL"/>
        </w:rPr>
        <w:t xml:space="preserve"> ustawy o giełdach towarowych.</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xml:space="preserve"> </w:t>
      </w:r>
      <w:r w:rsidR="00871583">
        <w:rPr>
          <w:rFonts w:ascii="Times New Roman" w:eastAsia="Times New Roman" w:hAnsi="Times New Roman" w:cs="Times New Roman"/>
          <w:b/>
          <w:sz w:val="24"/>
          <w:szCs w:val="24"/>
          <w:lang w:eastAsia="pl-PL"/>
        </w:rPr>
        <w:t>18</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Dokonanie na podstawie przepisów ustawy o funduszach inwestycyjnych:</w:t>
      </w:r>
    </w:p>
    <w:p w:rsidR="001B3426" w:rsidRPr="001B3426" w:rsidRDefault="001B3426" w:rsidP="001B3426">
      <w:pPr>
        <w:spacing w:before="120" w:after="0" w:line="240" w:lineRule="auto"/>
        <w:ind w:left="993"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1)   wpisu do rejestru, o którym mowa w art. 263 ustawy o funduszach inwestycyjnych:</w:t>
      </w:r>
    </w:p>
    <w:p w:rsidR="001B3426" w:rsidRPr="001B3426" w:rsidRDefault="001B3426" w:rsidP="001B3426">
      <w:pPr>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a)  funduszu zagranicznego - podlega opłacie w wysokości równowartości w złotych 4.000 euro,</w:t>
      </w:r>
    </w:p>
    <w:p w:rsidR="001B3426" w:rsidRPr="001B3426" w:rsidRDefault="001B3426" w:rsidP="001B3426">
      <w:pPr>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b)  funduszu zagranicznego z wydzielonymi subfunduszami - podlega opłacie w wysokości równowartości w złotych 4.500 euro,</w:t>
      </w:r>
    </w:p>
    <w:p w:rsidR="001B3426" w:rsidRPr="001B3426" w:rsidRDefault="001B3426" w:rsidP="001B3426">
      <w:pPr>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c)  funduszu inwestycyjnego otwartego z siedzibą w państwie należącym do Europejskiego Obszaru Gospodarczego (EEA) - podlega opłacie w wysokości równowartości w złotych 4.000 euro,</w:t>
      </w:r>
    </w:p>
    <w:p w:rsidR="001B3426" w:rsidRPr="001B3426" w:rsidRDefault="001B3426" w:rsidP="001B3426">
      <w:pPr>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  funduszu inwestycyjnego otwartego z wydzielonymi subfunduszami z siedzibą w państwie należącym do EEA - podlega opłacie w wysokości równowartości w złotych 4.500 euro;</w:t>
      </w:r>
    </w:p>
    <w:p w:rsidR="001B3426" w:rsidRPr="001B3426" w:rsidRDefault="001B3426" w:rsidP="001B3426">
      <w:pPr>
        <w:spacing w:before="120" w:after="0" w:line="240" w:lineRule="auto"/>
        <w:ind w:left="993"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2)   wpisu do rejestru, o którym mowa w art. 278 ustawy o funduszach inwestycyjnych:</w:t>
      </w:r>
    </w:p>
    <w:p w:rsidR="001B3426" w:rsidRPr="001B3426" w:rsidRDefault="001B3426" w:rsidP="001B3426">
      <w:pPr>
        <w:spacing w:before="120" w:after="0" w:line="240" w:lineRule="auto"/>
        <w:ind w:left="1418" w:hanging="284"/>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a)  funduszu inwestycyjnego otwartego z siedzibą w państwie należącym do Organizacji Współpracy Gospodarczej i Rozwoju (OECD) innym niż państwo członkowskie lub państwo należące do EEA - podlega opłacie w wysokości równowartości w złotych 4.000 euro,</w:t>
      </w:r>
    </w:p>
    <w:p w:rsidR="001B3426" w:rsidRPr="001B3426" w:rsidRDefault="001B3426" w:rsidP="001B3426">
      <w:pPr>
        <w:spacing w:before="120" w:after="0" w:line="240" w:lineRule="auto"/>
        <w:ind w:left="1418" w:hanging="284"/>
        <w:jc w:val="both"/>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sz w:val="24"/>
          <w:szCs w:val="24"/>
          <w:lang w:eastAsia="pl-PL"/>
        </w:rPr>
        <w:lastRenderedPageBreak/>
        <w:t>b)  funduszu inwestycyjnego otwartego z wydzielonymi subfunduszami z siedzibą w państwie należącym do OECD innym niż państwo członkowskie lub państwo należące do EEA - podlega opłacie w wysokości równowartości w złotych 4.500 euro.</w:t>
      </w:r>
    </w:p>
    <w:p w:rsidR="001B3426" w:rsidRPr="001B3426" w:rsidRDefault="001B3426" w:rsidP="001B3426">
      <w:pPr>
        <w:spacing w:before="120" w:after="0" w:line="240" w:lineRule="auto"/>
        <w:ind w:firstLine="426"/>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
          <w:bCs/>
          <w:sz w:val="24"/>
          <w:szCs w:val="24"/>
          <w:lang w:eastAsia="pl-PL"/>
        </w:rPr>
        <w:t xml:space="preserve">§ </w:t>
      </w:r>
      <w:r w:rsidR="00871583">
        <w:rPr>
          <w:rFonts w:ascii="Times New Roman" w:eastAsia="Times New Roman" w:hAnsi="Times New Roman" w:cs="Times New Roman"/>
          <w:b/>
          <w:bCs/>
          <w:sz w:val="24"/>
          <w:szCs w:val="24"/>
          <w:lang w:eastAsia="pl-PL"/>
        </w:rPr>
        <w:t>19</w:t>
      </w: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bCs/>
          <w:sz w:val="24"/>
          <w:szCs w:val="24"/>
          <w:lang w:eastAsia="pl-PL"/>
        </w:rPr>
        <w:t xml:space="preserve"> 1. Opłaty, o których mowa w § </w:t>
      </w:r>
      <w:r w:rsidR="003B06A7">
        <w:rPr>
          <w:rFonts w:ascii="Times New Roman" w:eastAsia="Times New Roman" w:hAnsi="Times New Roman" w:cs="Times New Roman"/>
          <w:bCs/>
          <w:sz w:val="24"/>
          <w:szCs w:val="24"/>
          <w:lang w:eastAsia="pl-PL"/>
        </w:rPr>
        <w:t>5-18</w:t>
      </w:r>
      <w:r w:rsidRPr="001B3426">
        <w:rPr>
          <w:rFonts w:ascii="Times New Roman" w:eastAsia="Times New Roman" w:hAnsi="Times New Roman" w:cs="Times New Roman"/>
          <w:bCs/>
          <w:sz w:val="24"/>
          <w:szCs w:val="24"/>
          <w:lang w:eastAsia="pl-PL"/>
        </w:rPr>
        <w:t>, uiszcza się w terminie 14 dni odpowiednio od dnia:</w:t>
      </w:r>
    </w:p>
    <w:p w:rsidR="001B3426" w:rsidRPr="001B3426" w:rsidRDefault="001B3426" w:rsidP="001B3426">
      <w:pPr>
        <w:spacing w:before="120" w:after="0" w:line="240" w:lineRule="auto"/>
        <w:ind w:left="567"/>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1) doręczenia decyzji udzielającej zezwolenia albo zgody;</w:t>
      </w:r>
    </w:p>
    <w:p w:rsidR="001B3426" w:rsidRPr="001B3426" w:rsidRDefault="001B3426" w:rsidP="001B3426">
      <w:pPr>
        <w:spacing w:before="120" w:after="0" w:line="240" w:lineRule="auto"/>
        <w:ind w:left="567"/>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2) doręczenia dokumentu potwierdzającego dokonanie wpisu do rejestru;</w:t>
      </w:r>
    </w:p>
    <w:p w:rsidR="001B3426" w:rsidRPr="001B3426" w:rsidRDefault="001B3426" w:rsidP="001B3426">
      <w:pPr>
        <w:spacing w:before="120" w:after="0" w:line="240" w:lineRule="auto"/>
        <w:ind w:left="567"/>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 xml:space="preserve">3)  decyzji zatwierdzającej zmianę regulaminu; </w:t>
      </w:r>
    </w:p>
    <w:p w:rsidR="001B3426" w:rsidRPr="001B3426" w:rsidRDefault="001B3426" w:rsidP="001B3426">
      <w:pPr>
        <w:spacing w:before="120" w:after="0" w:line="240" w:lineRule="auto"/>
        <w:ind w:left="567"/>
        <w:jc w:val="both"/>
        <w:rPr>
          <w:rFonts w:ascii="Times New Roman" w:eastAsia="Times New Roman" w:hAnsi="Times New Roman" w:cs="Times New Roman"/>
          <w:bCs/>
          <w:sz w:val="24"/>
          <w:szCs w:val="24"/>
          <w:lang w:eastAsia="pl-PL"/>
        </w:rPr>
      </w:pPr>
      <w:r w:rsidRPr="00071C01">
        <w:rPr>
          <w:rFonts w:ascii="Times New Roman" w:eastAsia="Times New Roman" w:hAnsi="Times New Roman" w:cs="Times New Roman"/>
          <w:bCs/>
          <w:sz w:val="24"/>
          <w:szCs w:val="24"/>
          <w:lang w:eastAsia="pl-PL"/>
        </w:rPr>
        <w:t>4) złożenia zawiadomienia lub przekazania informacji.</w:t>
      </w:r>
      <w:r w:rsidR="00CA377E">
        <w:rPr>
          <w:rFonts w:ascii="Times New Roman" w:eastAsia="Times New Roman" w:hAnsi="Times New Roman" w:cs="Times New Roman"/>
          <w:bCs/>
          <w:sz w:val="24"/>
          <w:szCs w:val="24"/>
          <w:lang w:eastAsia="pl-PL"/>
        </w:rPr>
        <w:t xml:space="preserve"> </w:t>
      </w:r>
    </w:p>
    <w:p w:rsidR="001B3426" w:rsidRDefault="001B3426" w:rsidP="00071C01">
      <w:pPr>
        <w:spacing w:before="120" w:after="0" w:line="240" w:lineRule="auto"/>
        <w:ind w:firstLine="567"/>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2. W przypadku gdy decyzja rozstrzyga sprawę w części, termin, o którym mowa w ust. 1, biegnie od dnia doręczenia decyzji rozstrzygającej sprawę w części, o ile udziela ona zezwolenia albo zgody.</w:t>
      </w:r>
    </w:p>
    <w:p w:rsidR="00FE7946" w:rsidRPr="001B3426" w:rsidRDefault="00CB2ED2" w:rsidP="00071C01">
      <w:pPr>
        <w:spacing w:before="120" w:after="0" w:line="240" w:lineRule="auto"/>
        <w:ind w:firstLine="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3. Opłatę, o której mowa w art. 93a ustawy o ofercie publicznej uiszcza się w terminie 14 dni od dnia doręczenia decyzji zatwierdzającej prospekt emisyjny, decyzji stwierdzającej równoważność memorandum informacyjnego lub decyzji zatwierdzającej memorandum informacyjne.</w:t>
      </w:r>
    </w:p>
    <w:p w:rsidR="001B3426" w:rsidRPr="001B3426" w:rsidRDefault="001B3426" w:rsidP="001B3426">
      <w:pPr>
        <w:spacing w:before="120" w:after="0" w:line="240" w:lineRule="auto"/>
        <w:ind w:firstLine="426"/>
        <w:jc w:val="both"/>
        <w:rPr>
          <w:rFonts w:ascii="Times New Roman" w:hAnsi="Times New Roman" w:cs="Times New Roman"/>
        </w:rPr>
      </w:pPr>
      <w:r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20</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Od agencji informacyjnej, w rozumieniu art. 58 ust. 1 ustawy o ofercie publicznej, pobiera się roczną opłatę w wysokości </w:t>
      </w:r>
      <w:r w:rsidRPr="001B3426">
        <w:rPr>
          <w:rFonts w:ascii="Times New Roman" w:hAnsi="Times New Roman" w:cs="Times New Roman"/>
          <w:sz w:val="24"/>
        </w:rPr>
        <w:t>równowartości w złotych 20.000 euro.</w:t>
      </w:r>
    </w:p>
    <w:p w:rsidR="001B3426" w:rsidRPr="001B3426" w:rsidRDefault="001B3426" w:rsidP="001B3426">
      <w:pPr>
        <w:spacing w:before="120" w:after="0" w:line="240" w:lineRule="auto"/>
        <w:ind w:firstLine="426"/>
        <w:jc w:val="both"/>
        <w:rPr>
          <w:rFonts w:ascii="Times New Roman" w:hAnsi="Times New Roman" w:cs="Times New Roman"/>
          <w:sz w:val="24"/>
        </w:rPr>
      </w:pPr>
      <w:r w:rsidRPr="001B3426">
        <w:rPr>
          <w:rFonts w:ascii="Times New Roman" w:hAnsi="Times New Roman" w:cs="Times New Roman"/>
          <w:sz w:val="24"/>
        </w:rPr>
        <w:t>2. Opłatę, o której mowa w ust. 1, wnosi się w wysokości 1/4 stawki rocznej w terminie do ostatniego dnia każdego kwartału danego roku kalendarzowego.</w:t>
      </w:r>
    </w:p>
    <w:p w:rsidR="001B3426" w:rsidRPr="001B3426" w:rsidRDefault="001B3426" w:rsidP="001B3426">
      <w:pPr>
        <w:spacing w:before="120" w:after="0" w:line="240" w:lineRule="auto"/>
        <w:ind w:firstLine="426"/>
        <w:jc w:val="both"/>
        <w:rPr>
          <w:rFonts w:ascii="Times New Roman" w:hAnsi="Times New Roman" w:cs="Times New Roman"/>
          <w:sz w:val="24"/>
        </w:rPr>
      </w:pPr>
      <w:r w:rsidRPr="001B3426">
        <w:rPr>
          <w:rFonts w:ascii="Times New Roman" w:hAnsi="Times New Roman" w:cs="Times New Roman"/>
          <w:b/>
          <w:sz w:val="24"/>
        </w:rPr>
        <w:t xml:space="preserve">§ </w:t>
      </w:r>
      <w:r w:rsidR="00871583">
        <w:rPr>
          <w:rFonts w:ascii="Times New Roman" w:hAnsi="Times New Roman" w:cs="Times New Roman"/>
          <w:b/>
          <w:sz w:val="24"/>
        </w:rPr>
        <w:t>21</w:t>
      </w:r>
      <w:r w:rsidRPr="001B3426">
        <w:rPr>
          <w:rFonts w:ascii="Times New Roman" w:hAnsi="Times New Roman" w:cs="Times New Roman"/>
          <w:b/>
          <w:sz w:val="24"/>
        </w:rPr>
        <w:t>.</w:t>
      </w:r>
      <w:r w:rsidRPr="001B3426">
        <w:rPr>
          <w:rFonts w:ascii="Times New Roman" w:hAnsi="Times New Roman" w:cs="Times New Roman"/>
          <w:sz w:val="24"/>
        </w:rPr>
        <w:t xml:space="preserve"> Opłaty, o których mowa w:</w:t>
      </w:r>
    </w:p>
    <w:p w:rsidR="001B3426" w:rsidRPr="001B3426" w:rsidRDefault="001B3426" w:rsidP="001B3426">
      <w:pPr>
        <w:numPr>
          <w:ilvl w:val="0"/>
          <w:numId w:val="34"/>
        </w:numPr>
        <w:spacing w:before="120" w:after="0" w:line="240" w:lineRule="auto"/>
        <w:contextualSpacing/>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art. 26 ust. 7 ustawy o giełdach towarowych,</w:t>
      </w:r>
    </w:p>
    <w:p w:rsidR="001B3426" w:rsidRPr="001B3426" w:rsidRDefault="001B3426" w:rsidP="001B3426">
      <w:pPr>
        <w:numPr>
          <w:ilvl w:val="0"/>
          <w:numId w:val="34"/>
        </w:numPr>
        <w:spacing w:before="120" w:after="0" w:line="240" w:lineRule="auto"/>
        <w:contextualSpacing/>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art. 236 ust. 2b</w:t>
      </w:r>
      <w:r w:rsidR="00C06ACE">
        <w:rPr>
          <w:rFonts w:ascii="Times New Roman" w:eastAsia="Times New Roman" w:hAnsi="Times New Roman" w:cs="Times New Roman"/>
          <w:bCs/>
          <w:sz w:val="24"/>
          <w:szCs w:val="24"/>
          <w:lang w:eastAsia="pl-PL"/>
        </w:rPr>
        <w:t xml:space="preserve">, </w:t>
      </w:r>
      <w:r w:rsidR="00595E62">
        <w:rPr>
          <w:rFonts w:ascii="Times New Roman" w:eastAsia="Times New Roman" w:hAnsi="Times New Roman" w:cs="Times New Roman"/>
          <w:bCs/>
          <w:sz w:val="24"/>
          <w:szCs w:val="24"/>
          <w:lang w:eastAsia="pl-PL"/>
        </w:rPr>
        <w:t>2c</w:t>
      </w:r>
      <w:r w:rsidRPr="001B3426">
        <w:rPr>
          <w:rFonts w:ascii="Times New Roman" w:eastAsia="Times New Roman" w:hAnsi="Times New Roman" w:cs="Times New Roman"/>
          <w:bCs/>
          <w:sz w:val="24"/>
          <w:szCs w:val="24"/>
          <w:lang w:eastAsia="pl-PL"/>
        </w:rPr>
        <w:t xml:space="preserve"> </w:t>
      </w:r>
      <w:r w:rsidR="00C06ACE">
        <w:rPr>
          <w:rFonts w:ascii="Times New Roman" w:eastAsia="Times New Roman" w:hAnsi="Times New Roman" w:cs="Times New Roman"/>
          <w:bCs/>
          <w:sz w:val="24"/>
          <w:szCs w:val="24"/>
          <w:lang w:eastAsia="pl-PL"/>
        </w:rPr>
        <w:t xml:space="preserve">zdanie pierwsze i 2 d </w:t>
      </w:r>
      <w:r w:rsidRPr="001B3426">
        <w:rPr>
          <w:rFonts w:ascii="Times New Roman" w:eastAsia="Times New Roman" w:hAnsi="Times New Roman" w:cs="Times New Roman"/>
          <w:bCs/>
          <w:sz w:val="24"/>
          <w:szCs w:val="24"/>
          <w:lang w:eastAsia="pl-PL"/>
        </w:rPr>
        <w:t>ustawy o funduszach inwestycyjnych,</w:t>
      </w:r>
    </w:p>
    <w:p w:rsidR="001B3426" w:rsidRDefault="001B3426" w:rsidP="001B3426">
      <w:pPr>
        <w:numPr>
          <w:ilvl w:val="0"/>
          <w:numId w:val="34"/>
        </w:numPr>
        <w:spacing w:before="120" w:after="0" w:line="240" w:lineRule="auto"/>
        <w:contextualSpacing/>
        <w:jc w:val="both"/>
        <w:rPr>
          <w:rFonts w:ascii="Times New Roman" w:eastAsia="Times New Roman" w:hAnsi="Times New Roman" w:cs="Times New Roman"/>
          <w:bCs/>
          <w:sz w:val="24"/>
          <w:szCs w:val="24"/>
          <w:lang w:eastAsia="pl-PL"/>
        </w:rPr>
      </w:pPr>
      <w:r w:rsidRPr="001B3426">
        <w:rPr>
          <w:rFonts w:ascii="Times New Roman" w:eastAsia="Times New Roman" w:hAnsi="Times New Roman" w:cs="Times New Roman"/>
          <w:bCs/>
          <w:sz w:val="24"/>
          <w:szCs w:val="24"/>
          <w:lang w:eastAsia="pl-PL"/>
        </w:rPr>
        <w:t xml:space="preserve">art. 163 ust. </w:t>
      </w:r>
      <w:r w:rsidR="003E18D4">
        <w:rPr>
          <w:rFonts w:ascii="Times New Roman" w:eastAsia="Times New Roman" w:hAnsi="Times New Roman" w:cs="Times New Roman"/>
          <w:bCs/>
          <w:sz w:val="24"/>
          <w:szCs w:val="24"/>
          <w:lang w:eastAsia="pl-PL"/>
        </w:rPr>
        <w:t>8 i 10</w:t>
      </w:r>
      <w:r w:rsidRPr="001B3426">
        <w:rPr>
          <w:rFonts w:ascii="Times New Roman" w:eastAsia="Times New Roman" w:hAnsi="Times New Roman" w:cs="Times New Roman"/>
          <w:bCs/>
          <w:sz w:val="24"/>
          <w:szCs w:val="24"/>
          <w:lang w:eastAsia="pl-PL"/>
        </w:rPr>
        <w:t xml:space="preserve"> ustawy o obrocie</w:t>
      </w:r>
      <w:r w:rsidR="00C27AE3">
        <w:rPr>
          <w:rFonts w:ascii="Times New Roman" w:eastAsia="Times New Roman" w:hAnsi="Times New Roman" w:cs="Times New Roman"/>
          <w:bCs/>
          <w:sz w:val="24"/>
          <w:szCs w:val="24"/>
          <w:lang w:eastAsia="pl-PL"/>
        </w:rPr>
        <w:t>,</w:t>
      </w:r>
    </w:p>
    <w:p w:rsidR="00C27AE3" w:rsidRPr="001B3426" w:rsidRDefault="00C27AE3" w:rsidP="001B3426">
      <w:pPr>
        <w:numPr>
          <w:ilvl w:val="0"/>
          <w:numId w:val="34"/>
        </w:numPr>
        <w:spacing w:before="120" w:after="0"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art. 94b ust. 1 ustawy o ofercie</w:t>
      </w:r>
      <w:r w:rsidR="00CB2ED2">
        <w:rPr>
          <w:rFonts w:ascii="Times New Roman" w:eastAsia="Times New Roman" w:hAnsi="Times New Roman" w:cs="Times New Roman"/>
          <w:bCs/>
          <w:sz w:val="24"/>
          <w:szCs w:val="24"/>
          <w:lang w:eastAsia="pl-PL"/>
        </w:rPr>
        <w:t xml:space="preserve"> publicznej</w:t>
      </w:r>
    </w:p>
    <w:p w:rsidR="001B3426" w:rsidRPr="001B3426" w:rsidRDefault="001B3426" w:rsidP="001B3426">
      <w:pPr>
        <w:spacing w:before="120" w:after="0" w:line="240" w:lineRule="auto"/>
        <w:contextualSpacing/>
        <w:jc w:val="both"/>
        <w:rPr>
          <w:lang w:eastAsia="pl-PL"/>
        </w:rPr>
      </w:pPr>
      <w:r w:rsidRPr="001B3426">
        <w:rPr>
          <w:rFonts w:ascii="Times New Roman" w:eastAsia="Times New Roman" w:hAnsi="Times New Roman" w:cs="Times New Roman"/>
          <w:bCs/>
          <w:sz w:val="24"/>
          <w:szCs w:val="24"/>
          <w:lang w:eastAsia="pl-PL"/>
        </w:rPr>
        <w:t>- wnosi się jednorazowo, w terminie do ostatniego dnia trzeciego kwartału danego roku kalendarzowego, a w przypadku gdy podmiot zobowiązany do wniesienia opłaty rozpoczął działalność po tym dniu – do ostatniego dnia czwartego kwartału danego roku kalendarzowego.</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b/>
          <w:sz w:val="24"/>
          <w:szCs w:val="24"/>
          <w:lang w:eastAsia="pl-PL"/>
        </w:rPr>
        <w:t> </w:t>
      </w:r>
      <w:r w:rsidR="00871583">
        <w:rPr>
          <w:rFonts w:ascii="Times New Roman" w:eastAsia="Times New Roman" w:hAnsi="Times New Roman" w:cs="Times New Roman"/>
          <w:b/>
          <w:sz w:val="24"/>
          <w:szCs w:val="24"/>
          <w:lang w:eastAsia="pl-PL"/>
        </w:rPr>
        <w:t>22</w:t>
      </w:r>
      <w:r w:rsidRPr="001B3426">
        <w:rPr>
          <w:rFonts w:ascii="Times New Roman" w:eastAsia="Times New Roman" w:hAnsi="Times New Roman" w:cs="Times New Roman"/>
          <w:b/>
          <w:sz w:val="24"/>
          <w:szCs w:val="24"/>
          <w:lang w:eastAsia="pl-PL"/>
        </w:rPr>
        <w:t xml:space="preserve">. </w:t>
      </w:r>
      <w:r w:rsidRPr="001B3426">
        <w:rPr>
          <w:rFonts w:ascii="Times New Roman" w:eastAsia="Times New Roman" w:hAnsi="Times New Roman" w:cs="Times New Roman"/>
          <w:sz w:val="24"/>
          <w:szCs w:val="24"/>
          <w:lang w:eastAsia="pl-PL"/>
        </w:rPr>
        <w:t>1. Do dnia 10 sierpnia każdego roku kalendarzowego Komisja ustala:</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całkowitą kwotę kosztów nadzoru poniesionych w poprzednim roku kalendarzowym;</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kwotę kosztów nadzoru poniesionych w poprzednim roku kalendarzowym podlegającą proporcjonalnemu rozliczeniu w ramach grup, o których mowa w § 2</w:t>
      </w:r>
      <w:r w:rsidR="003B06A7">
        <w:rPr>
          <w:rFonts w:ascii="Times New Roman" w:eastAsia="Times New Roman" w:hAnsi="Times New Roman" w:cs="Times New Roman"/>
          <w:sz w:val="24"/>
          <w:szCs w:val="24"/>
          <w:lang w:eastAsia="pl-PL"/>
        </w:rPr>
        <w:t>3</w:t>
      </w:r>
      <w:r w:rsidRPr="001B3426">
        <w:rPr>
          <w:rFonts w:ascii="Times New Roman" w:eastAsia="Times New Roman" w:hAnsi="Times New Roman" w:cs="Times New Roman"/>
          <w:sz w:val="24"/>
          <w:szCs w:val="24"/>
          <w:lang w:eastAsia="pl-PL"/>
        </w:rPr>
        <w:t xml:space="preserve">, zwaną dalej „kwotą kosztów nadzoru netto”; </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sumy kwot stanowiących podstawę obliczenia należnej opłaty od poszczególnych podmiotów w ramach poszczególnych grup,  o których mowa w </w:t>
      </w:r>
      <w:r w:rsidRPr="001B3426">
        <w:rPr>
          <w:rFonts w:ascii="Times New Roman" w:eastAsia="Times New Roman" w:hAnsi="Times New Roman" w:cs="Times New Roman"/>
          <w:sz w:val="24"/>
          <w:szCs w:val="24"/>
          <w:shd w:val="clear" w:color="auto" w:fill="FFFFFF" w:themeFill="background1"/>
          <w:lang w:eastAsia="pl-PL"/>
        </w:rPr>
        <w:t>§ 2</w:t>
      </w:r>
      <w:r w:rsidR="003B06A7">
        <w:rPr>
          <w:rFonts w:ascii="Times New Roman" w:eastAsia="Times New Roman" w:hAnsi="Times New Roman" w:cs="Times New Roman"/>
          <w:sz w:val="24"/>
          <w:szCs w:val="24"/>
          <w:shd w:val="clear" w:color="auto" w:fill="FFFFFF" w:themeFill="background1"/>
          <w:lang w:eastAsia="pl-PL"/>
        </w:rPr>
        <w:t>3</w:t>
      </w:r>
      <w:r w:rsidRPr="001B3426">
        <w:rPr>
          <w:rFonts w:ascii="Times New Roman" w:eastAsia="Times New Roman" w:hAnsi="Times New Roman" w:cs="Times New Roman"/>
          <w:sz w:val="24"/>
          <w:szCs w:val="24"/>
          <w:shd w:val="clear" w:color="auto" w:fill="FFFFFF" w:themeFill="background1"/>
          <w:lang w:eastAsia="pl-PL"/>
        </w:rPr>
        <w:t xml:space="preserve">, zwanych dalej „grupami” </w:t>
      </w:r>
      <w:r w:rsidRPr="001B3426">
        <w:rPr>
          <w:rFonts w:ascii="Times New Roman" w:eastAsia="Times New Roman" w:hAnsi="Times New Roman" w:cs="Times New Roman"/>
          <w:sz w:val="24"/>
          <w:szCs w:val="24"/>
          <w:lang w:eastAsia="pl-PL"/>
        </w:rPr>
        <w:t xml:space="preserve">– odrębnie dla każdej z grup; </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wysokości stawek obowiązujących w danym roku</w:t>
      </w:r>
      <w:r w:rsidR="000A4DAD" w:rsidRPr="000A4DAD">
        <w:rPr>
          <w:rFonts w:ascii="Times New Roman" w:eastAsia="Times New Roman" w:hAnsi="Times New Roman" w:cs="Times New Roman"/>
          <w:sz w:val="24"/>
          <w:szCs w:val="24"/>
          <w:lang w:eastAsia="pl-PL"/>
        </w:rPr>
        <w:t xml:space="preserve"> </w:t>
      </w:r>
      <w:r w:rsidR="000A4DAD" w:rsidRPr="001B3426">
        <w:rPr>
          <w:rFonts w:ascii="Times New Roman" w:eastAsia="Times New Roman" w:hAnsi="Times New Roman" w:cs="Times New Roman"/>
          <w:sz w:val="24"/>
          <w:szCs w:val="24"/>
          <w:lang w:eastAsia="pl-PL"/>
        </w:rPr>
        <w:t xml:space="preserve">– </w:t>
      </w:r>
      <w:r w:rsidR="000A4DAD">
        <w:rPr>
          <w:rFonts w:ascii="Times New Roman" w:eastAsia="Times New Roman" w:hAnsi="Times New Roman" w:cs="Times New Roman"/>
          <w:sz w:val="24"/>
          <w:szCs w:val="24"/>
          <w:lang w:eastAsia="pl-PL"/>
        </w:rPr>
        <w:t xml:space="preserve"> zgodnie ze wzorem określonym w § 2</w:t>
      </w:r>
      <w:r w:rsidR="006531F4">
        <w:rPr>
          <w:rFonts w:ascii="Times New Roman" w:eastAsia="Times New Roman" w:hAnsi="Times New Roman" w:cs="Times New Roman"/>
          <w:sz w:val="24"/>
          <w:szCs w:val="24"/>
          <w:lang w:eastAsia="pl-PL"/>
        </w:rPr>
        <w:t>4</w:t>
      </w:r>
      <w:r w:rsidR="000A4DAD">
        <w:rPr>
          <w:rFonts w:ascii="Times New Roman" w:eastAsia="Times New Roman" w:hAnsi="Times New Roman" w:cs="Times New Roman"/>
          <w:sz w:val="24"/>
          <w:szCs w:val="24"/>
          <w:lang w:eastAsia="pl-PL"/>
        </w:rPr>
        <w:t xml:space="preserve"> ust. 2,</w:t>
      </w:r>
      <w:r w:rsidRPr="001B3426">
        <w:rPr>
          <w:rFonts w:ascii="Times New Roman" w:eastAsia="Times New Roman" w:hAnsi="Times New Roman" w:cs="Times New Roman"/>
          <w:sz w:val="24"/>
          <w:szCs w:val="24"/>
          <w:lang w:eastAsia="pl-PL"/>
        </w:rPr>
        <w:t xml:space="preserve"> odrębnie dla każdej z grup;</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wartość współczynnika zmiany kosztów nadzoru</w:t>
      </w:r>
      <w:r w:rsidR="000A4DAD" w:rsidRPr="000A4DAD">
        <w:rPr>
          <w:rFonts w:ascii="Times New Roman" w:eastAsia="Times New Roman" w:hAnsi="Times New Roman" w:cs="Times New Roman"/>
          <w:sz w:val="24"/>
          <w:szCs w:val="24"/>
          <w:lang w:eastAsia="pl-PL"/>
        </w:rPr>
        <w:t xml:space="preserve"> </w:t>
      </w:r>
      <w:r w:rsidR="000A4DAD">
        <w:rPr>
          <w:rFonts w:ascii="Times New Roman" w:eastAsia="Times New Roman" w:hAnsi="Times New Roman" w:cs="Times New Roman"/>
          <w:sz w:val="24"/>
          <w:szCs w:val="24"/>
          <w:lang w:eastAsia="pl-PL"/>
        </w:rPr>
        <w:t>– zgodnie ze wzorem określonym w § 2</w:t>
      </w:r>
      <w:r w:rsidR="006531F4">
        <w:rPr>
          <w:rFonts w:ascii="Times New Roman" w:eastAsia="Times New Roman" w:hAnsi="Times New Roman" w:cs="Times New Roman"/>
          <w:sz w:val="24"/>
          <w:szCs w:val="24"/>
          <w:lang w:eastAsia="pl-PL"/>
        </w:rPr>
        <w:t>4</w:t>
      </w:r>
      <w:r w:rsidR="000A4DAD">
        <w:rPr>
          <w:rFonts w:ascii="Times New Roman" w:eastAsia="Times New Roman" w:hAnsi="Times New Roman" w:cs="Times New Roman"/>
          <w:sz w:val="24"/>
          <w:szCs w:val="24"/>
          <w:lang w:eastAsia="pl-PL"/>
        </w:rPr>
        <w:t xml:space="preserve"> ust. 3</w:t>
      </w:r>
      <w:r w:rsidRPr="001B3426">
        <w:rPr>
          <w:rFonts w:ascii="Times New Roman" w:eastAsia="Times New Roman" w:hAnsi="Times New Roman" w:cs="Times New Roman"/>
          <w:sz w:val="24"/>
          <w:szCs w:val="24"/>
          <w:lang w:eastAsia="pl-PL"/>
        </w:rPr>
        <w:t>;</w:t>
      </w:r>
    </w:p>
    <w:p w:rsidR="001B3426" w:rsidRPr="001B3426" w:rsidRDefault="001B3426" w:rsidP="001B3426">
      <w:pPr>
        <w:numPr>
          <w:ilvl w:val="0"/>
          <w:numId w:val="18"/>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wartości współczynników korygujących –</w:t>
      </w:r>
      <w:r w:rsidR="000A4DAD">
        <w:rPr>
          <w:rFonts w:ascii="Times New Roman" w:eastAsia="Times New Roman" w:hAnsi="Times New Roman" w:cs="Times New Roman"/>
          <w:sz w:val="24"/>
          <w:szCs w:val="24"/>
          <w:lang w:eastAsia="pl-PL"/>
        </w:rPr>
        <w:t xml:space="preserve"> zgodnie ze wzorem określonym w § 2</w:t>
      </w:r>
      <w:r w:rsidR="006531F4">
        <w:rPr>
          <w:rFonts w:ascii="Times New Roman" w:eastAsia="Times New Roman" w:hAnsi="Times New Roman" w:cs="Times New Roman"/>
          <w:sz w:val="24"/>
          <w:szCs w:val="24"/>
          <w:lang w:eastAsia="pl-PL"/>
        </w:rPr>
        <w:t>4</w:t>
      </w:r>
      <w:r w:rsidR="000A4DAD">
        <w:rPr>
          <w:rFonts w:ascii="Times New Roman" w:eastAsia="Times New Roman" w:hAnsi="Times New Roman" w:cs="Times New Roman"/>
          <w:sz w:val="24"/>
          <w:szCs w:val="24"/>
          <w:lang w:eastAsia="pl-PL"/>
        </w:rPr>
        <w:t xml:space="preserve"> ust. 4, </w:t>
      </w:r>
      <w:r w:rsidRPr="001B3426">
        <w:rPr>
          <w:rFonts w:ascii="Times New Roman" w:eastAsia="Times New Roman" w:hAnsi="Times New Roman" w:cs="Times New Roman"/>
          <w:sz w:val="24"/>
          <w:szCs w:val="24"/>
          <w:lang w:eastAsia="pl-PL"/>
        </w:rPr>
        <w:t>odrębnie dla każdej z grup.</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2.  Kwotę, o której mowa w ust. 1 pkt 2, ustala się pomniejszając całkowitą kwotę kosztów nadzoru poniesionych w poprzednim roku kalendarzowym o:</w:t>
      </w:r>
    </w:p>
    <w:p w:rsidR="001B3426" w:rsidRPr="001B3426"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kwotę odpowiadającą 13,5% tej kwoty, pokrywaną ze środków, o których mowa w art. 131 ust. 1 w związku z ust. 1a ustawy</w:t>
      </w:r>
      <w:r w:rsidRPr="001B3426">
        <w:t xml:space="preserve"> </w:t>
      </w:r>
      <w:r w:rsidRPr="001B3426">
        <w:rPr>
          <w:rFonts w:ascii="Times New Roman" w:eastAsia="Times New Roman" w:hAnsi="Times New Roman" w:cs="Times New Roman"/>
          <w:sz w:val="24"/>
          <w:szCs w:val="24"/>
          <w:lang w:eastAsia="pl-PL"/>
        </w:rPr>
        <w:t>z dnia 29 sierpnia 1997 r. - Prawo bankowe (Dz. U. z 2012 r. poz. 1376, z późn. zm.);</w:t>
      </w:r>
    </w:p>
    <w:p w:rsidR="001B3426" w:rsidRPr="001B3426"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kwotę odpowiadająca 1,5% tej kwoty, pokrywaną ze środków, o których mowa w art. 14 ust. 1 pkt 1 w związku z ust. 1a ustawy z dnia 22 maja 2003 r. o nadzorze ubezpieczeniowym i emerytalnym oraz Rzeczniku Ubezpieczonych (Dz. U. z 2013 r. poz. 290 i 1717);  </w:t>
      </w:r>
    </w:p>
    <w:p w:rsidR="00086AD2"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sumę opłat, o których mowa w § </w:t>
      </w:r>
      <w:r w:rsidR="006531F4">
        <w:rPr>
          <w:rFonts w:ascii="Times New Roman" w:eastAsia="Times New Roman" w:hAnsi="Times New Roman" w:cs="Times New Roman"/>
          <w:sz w:val="24"/>
          <w:szCs w:val="24"/>
          <w:lang w:eastAsia="pl-PL"/>
        </w:rPr>
        <w:t>5</w:t>
      </w:r>
      <w:r w:rsidRPr="001B3426">
        <w:rPr>
          <w:rFonts w:ascii="Times New Roman" w:eastAsia="Times New Roman" w:hAnsi="Times New Roman" w:cs="Times New Roman"/>
          <w:sz w:val="24"/>
          <w:szCs w:val="24"/>
          <w:lang w:eastAsia="pl-PL"/>
        </w:rPr>
        <w:t>-1</w:t>
      </w:r>
      <w:r w:rsidR="006531F4">
        <w:rPr>
          <w:rFonts w:ascii="Times New Roman" w:eastAsia="Times New Roman" w:hAnsi="Times New Roman" w:cs="Times New Roman"/>
          <w:sz w:val="24"/>
          <w:szCs w:val="24"/>
          <w:lang w:eastAsia="pl-PL"/>
        </w:rPr>
        <w:t>8,</w:t>
      </w:r>
      <w:r w:rsidRPr="001B3426">
        <w:rPr>
          <w:rFonts w:ascii="Times New Roman" w:eastAsia="Times New Roman" w:hAnsi="Times New Roman" w:cs="Times New Roman"/>
          <w:sz w:val="24"/>
          <w:szCs w:val="24"/>
          <w:lang w:eastAsia="pl-PL"/>
        </w:rPr>
        <w:t xml:space="preserve"> wniesionych w poprzednim roku kalendarzowym;</w:t>
      </w:r>
      <w:r w:rsidR="00FE7946">
        <w:rPr>
          <w:rFonts w:ascii="Times New Roman" w:eastAsia="Times New Roman" w:hAnsi="Times New Roman" w:cs="Times New Roman"/>
          <w:sz w:val="24"/>
          <w:szCs w:val="24"/>
          <w:lang w:eastAsia="pl-PL"/>
        </w:rPr>
        <w:t xml:space="preserve"> </w:t>
      </w:r>
    </w:p>
    <w:p w:rsidR="001B3426" w:rsidRPr="001B3426" w:rsidRDefault="00086AD2"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sumę opłat, o których mowa w art. 93a ustawy o ofercie</w:t>
      </w:r>
      <w:r w:rsidR="00CB2ED2">
        <w:rPr>
          <w:rFonts w:ascii="Times New Roman" w:eastAsia="Times New Roman" w:hAnsi="Times New Roman" w:cs="Times New Roman"/>
          <w:sz w:val="24"/>
          <w:szCs w:val="24"/>
          <w:lang w:eastAsia="pl-PL"/>
        </w:rPr>
        <w:t xml:space="preserve"> publicznej,</w:t>
      </w:r>
      <w:r>
        <w:rPr>
          <w:rFonts w:ascii="Times New Roman" w:eastAsia="Times New Roman" w:hAnsi="Times New Roman" w:cs="Times New Roman"/>
          <w:sz w:val="24"/>
          <w:szCs w:val="24"/>
          <w:lang w:eastAsia="pl-PL"/>
        </w:rPr>
        <w:t xml:space="preserve"> </w:t>
      </w:r>
      <w:r w:rsidRPr="001B3426">
        <w:rPr>
          <w:rFonts w:ascii="Times New Roman" w:eastAsia="Times New Roman" w:hAnsi="Times New Roman" w:cs="Times New Roman"/>
          <w:sz w:val="24"/>
          <w:szCs w:val="24"/>
          <w:lang w:eastAsia="pl-PL"/>
        </w:rPr>
        <w:t>wniesionych w poprzednim roku kalendarzowym;</w:t>
      </w:r>
    </w:p>
    <w:p w:rsidR="001B3426" w:rsidRPr="001B3426"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sumę opłat, o których mowa w § </w:t>
      </w:r>
      <w:r w:rsidR="006531F4">
        <w:rPr>
          <w:rFonts w:ascii="Times New Roman" w:eastAsia="Times New Roman" w:hAnsi="Times New Roman" w:cs="Times New Roman"/>
          <w:sz w:val="24"/>
          <w:szCs w:val="24"/>
          <w:lang w:eastAsia="pl-PL"/>
        </w:rPr>
        <w:t>20</w:t>
      </w:r>
      <w:r w:rsidRPr="001B3426">
        <w:rPr>
          <w:rFonts w:ascii="Times New Roman" w:eastAsia="Times New Roman" w:hAnsi="Times New Roman" w:cs="Times New Roman"/>
          <w:sz w:val="24"/>
          <w:szCs w:val="24"/>
          <w:lang w:eastAsia="pl-PL"/>
        </w:rPr>
        <w:t xml:space="preserve"> ust. 1, wniesionych w poprzednim roku kalendarzowym;</w:t>
      </w:r>
    </w:p>
    <w:p w:rsidR="001B3426" w:rsidRPr="001B3426"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sumę opłat, o których mowa w art. 26 ust. 7 ustawy o giełdach towarowych</w:t>
      </w:r>
      <w:r w:rsidR="006531F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 xml:space="preserve"> wniesionych w poprzednim roku kalendarzowym;</w:t>
      </w:r>
    </w:p>
    <w:p w:rsidR="001B3426" w:rsidRPr="001B3426" w:rsidRDefault="001B3426" w:rsidP="001B3426">
      <w:pPr>
        <w:numPr>
          <w:ilvl w:val="0"/>
          <w:numId w:val="19"/>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sumę opłat, o których mowa w art. 236 ust. 2b</w:t>
      </w:r>
      <w:r w:rsidR="005D2FF6">
        <w:rPr>
          <w:rFonts w:ascii="Times New Roman" w:eastAsia="Times New Roman" w:hAnsi="Times New Roman" w:cs="Times New Roman"/>
          <w:sz w:val="24"/>
          <w:szCs w:val="24"/>
          <w:lang w:eastAsia="pl-PL"/>
        </w:rPr>
        <w:t xml:space="preserve">, </w:t>
      </w:r>
      <w:r w:rsidR="00595E62">
        <w:rPr>
          <w:rFonts w:ascii="Times New Roman" w:eastAsia="Times New Roman" w:hAnsi="Times New Roman" w:cs="Times New Roman"/>
          <w:sz w:val="24"/>
          <w:szCs w:val="24"/>
          <w:lang w:eastAsia="pl-PL"/>
        </w:rPr>
        <w:t>2c</w:t>
      </w:r>
      <w:r w:rsidRPr="001B3426">
        <w:rPr>
          <w:rFonts w:ascii="Times New Roman" w:eastAsia="Times New Roman" w:hAnsi="Times New Roman" w:cs="Times New Roman"/>
          <w:sz w:val="24"/>
          <w:szCs w:val="24"/>
          <w:lang w:eastAsia="pl-PL"/>
        </w:rPr>
        <w:t xml:space="preserve"> </w:t>
      </w:r>
      <w:r w:rsidR="005D2FF6">
        <w:rPr>
          <w:rFonts w:ascii="Times New Roman" w:eastAsia="Times New Roman" w:hAnsi="Times New Roman" w:cs="Times New Roman"/>
          <w:sz w:val="24"/>
          <w:szCs w:val="24"/>
          <w:lang w:eastAsia="pl-PL"/>
        </w:rPr>
        <w:t xml:space="preserve">zdanie pierwsze i 2d </w:t>
      </w:r>
      <w:r w:rsidRPr="001B3426">
        <w:rPr>
          <w:rFonts w:ascii="Times New Roman" w:eastAsia="Times New Roman" w:hAnsi="Times New Roman" w:cs="Times New Roman"/>
          <w:sz w:val="24"/>
          <w:szCs w:val="24"/>
          <w:lang w:eastAsia="pl-PL"/>
        </w:rPr>
        <w:t>ustawy o funduszach inwestycyjnych</w:t>
      </w:r>
      <w:r w:rsidR="006531F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 xml:space="preserve"> </w:t>
      </w:r>
      <w:r w:rsidR="00086AD2" w:rsidRPr="001B3426">
        <w:rPr>
          <w:rFonts w:ascii="Times New Roman" w:eastAsia="Times New Roman" w:hAnsi="Times New Roman" w:cs="Times New Roman"/>
          <w:sz w:val="24"/>
          <w:szCs w:val="24"/>
          <w:lang w:eastAsia="pl-PL"/>
        </w:rPr>
        <w:t>wniesionych w poprzednim roku kalendarzowym;</w:t>
      </w:r>
    </w:p>
    <w:p w:rsidR="00C27AE3" w:rsidRDefault="001B3426" w:rsidP="001B3426">
      <w:pPr>
        <w:numPr>
          <w:ilvl w:val="0"/>
          <w:numId w:val="19"/>
        </w:numPr>
        <w:ind w:left="1276"/>
        <w:contextualSpacing/>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sumę opłat, o których mowa w art. 163 ust. </w:t>
      </w:r>
      <w:r w:rsidR="003E18D4">
        <w:rPr>
          <w:rFonts w:ascii="Times New Roman" w:eastAsia="Times New Roman" w:hAnsi="Times New Roman" w:cs="Times New Roman"/>
          <w:sz w:val="24"/>
          <w:szCs w:val="24"/>
          <w:lang w:eastAsia="pl-PL"/>
        </w:rPr>
        <w:t>8 i 10</w:t>
      </w:r>
      <w:r w:rsidR="0065513F">
        <w:rPr>
          <w:rFonts w:ascii="Times New Roman" w:eastAsia="Times New Roman" w:hAnsi="Times New Roman" w:cs="Times New Roman"/>
          <w:sz w:val="24"/>
          <w:szCs w:val="24"/>
          <w:lang w:eastAsia="pl-PL"/>
        </w:rPr>
        <w:t xml:space="preserve"> </w:t>
      </w:r>
      <w:r w:rsidRPr="001B3426">
        <w:rPr>
          <w:rFonts w:ascii="Times New Roman" w:eastAsia="Times New Roman" w:hAnsi="Times New Roman" w:cs="Times New Roman"/>
          <w:sz w:val="24"/>
          <w:szCs w:val="24"/>
          <w:lang w:eastAsia="pl-PL"/>
        </w:rPr>
        <w:t>ustawy o obrocie</w:t>
      </w:r>
      <w:r w:rsidR="006531F4">
        <w:rPr>
          <w:rFonts w:ascii="Times New Roman" w:eastAsia="Times New Roman" w:hAnsi="Times New Roman" w:cs="Times New Roman"/>
          <w:sz w:val="24"/>
          <w:szCs w:val="24"/>
          <w:lang w:eastAsia="pl-PL"/>
        </w:rPr>
        <w:t>,</w:t>
      </w:r>
      <w:r w:rsidR="00086AD2" w:rsidRPr="00086AD2">
        <w:rPr>
          <w:rFonts w:ascii="Times New Roman" w:eastAsia="Times New Roman" w:hAnsi="Times New Roman" w:cs="Times New Roman"/>
          <w:sz w:val="24"/>
          <w:szCs w:val="24"/>
          <w:lang w:eastAsia="pl-PL"/>
        </w:rPr>
        <w:t xml:space="preserve"> </w:t>
      </w:r>
      <w:r w:rsidR="00086AD2" w:rsidRPr="001B3426">
        <w:rPr>
          <w:rFonts w:ascii="Times New Roman" w:eastAsia="Times New Roman" w:hAnsi="Times New Roman" w:cs="Times New Roman"/>
          <w:sz w:val="24"/>
          <w:szCs w:val="24"/>
          <w:lang w:eastAsia="pl-PL"/>
        </w:rPr>
        <w:t xml:space="preserve">wniesionych </w:t>
      </w:r>
      <w:r w:rsidR="005D2FF6">
        <w:rPr>
          <w:rFonts w:ascii="Times New Roman" w:eastAsia="Times New Roman" w:hAnsi="Times New Roman" w:cs="Times New Roman"/>
          <w:sz w:val="24"/>
          <w:szCs w:val="24"/>
          <w:lang w:eastAsia="pl-PL"/>
        </w:rPr>
        <w:t>w poprzednim roku kalendarzowym</w:t>
      </w:r>
      <w:r w:rsidR="00C27AE3">
        <w:rPr>
          <w:rFonts w:ascii="Times New Roman" w:eastAsia="Times New Roman" w:hAnsi="Times New Roman" w:cs="Times New Roman"/>
          <w:sz w:val="24"/>
          <w:szCs w:val="24"/>
          <w:lang w:eastAsia="pl-PL"/>
        </w:rPr>
        <w:t>;</w:t>
      </w:r>
    </w:p>
    <w:p w:rsidR="001B3426" w:rsidRDefault="00C27AE3" w:rsidP="001B3426">
      <w:pPr>
        <w:numPr>
          <w:ilvl w:val="0"/>
          <w:numId w:val="19"/>
        </w:numPr>
        <w:ind w:left="1276"/>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sumę opłat, o których mowa w art. 94b ust. 1 ustawy o ofercie</w:t>
      </w:r>
      <w:r w:rsidR="00CB2ED2">
        <w:rPr>
          <w:rFonts w:ascii="Times New Roman" w:eastAsia="Times New Roman" w:hAnsi="Times New Roman" w:cs="Times New Roman"/>
          <w:sz w:val="24"/>
          <w:szCs w:val="24"/>
          <w:lang w:eastAsia="pl-PL"/>
        </w:rPr>
        <w:t xml:space="preserve"> publicznej</w:t>
      </w:r>
      <w:r w:rsidR="00086AD2" w:rsidRPr="00086AD2">
        <w:rPr>
          <w:rFonts w:ascii="Times New Roman" w:eastAsia="Times New Roman" w:hAnsi="Times New Roman" w:cs="Times New Roman"/>
          <w:sz w:val="24"/>
          <w:szCs w:val="24"/>
          <w:lang w:eastAsia="pl-PL"/>
        </w:rPr>
        <w:t xml:space="preserve"> </w:t>
      </w:r>
      <w:r w:rsidR="00086AD2" w:rsidRPr="001B3426">
        <w:rPr>
          <w:rFonts w:ascii="Times New Roman" w:eastAsia="Times New Roman" w:hAnsi="Times New Roman" w:cs="Times New Roman"/>
          <w:sz w:val="24"/>
          <w:szCs w:val="24"/>
          <w:lang w:eastAsia="pl-PL"/>
        </w:rPr>
        <w:t xml:space="preserve">wniesionych </w:t>
      </w:r>
      <w:r w:rsidR="005D2FF6">
        <w:rPr>
          <w:rFonts w:ascii="Times New Roman" w:eastAsia="Times New Roman" w:hAnsi="Times New Roman" w:cs="Times New Roman"/>
          <w:sz w:val="24"/>
          <w:szCs w:val="24"/>
          <w:lang w:eastAsia="pl-PL"/>
        </w:rPr>
        <w:t>w poprzednim roku kalendarzowym.</w:t>
      </w:r>
    </w:p>
    <w:p w:rsidR="001B3426" w:rsidRPr="001B3426" w:rsidRDefault="001B3426" w:rsidP="001B3426">
      <w:pPr>
        <w:numPr>
          <w:ilvl w:val="0"/>
          <w:numId w:val="29"/>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Kwoty, o których mowa w ust. 1 pkt 1-3</w:t>
      </w:r>
      <w:r w:rsidR="006531F4">
        <w:rPr>
          <w:rFonts w:ascii="Times New Roman" w:eastAsia="Times New Roman" w:hAnsi="Times New Roman" w:cs="Times New Roman"/>
          <w:sz w:val="24"/>
          <w:szCs w:val="24"/>
          <w:lang w:eastAsia="pl-PL"/>
        </w:rPr>
        <w:t>,</w:t>
      </w:r>
      <w:r w:rsidRPr="001B3426">
        <w:rPr>
          <w:rFonts w:ascii="Times New Roman" w:eastAsia="Times New Roman" w:hAnsi="Times New Roman" w:cs="Times New Roman"/>
          <w:sz w:val="24"/>
          <w:szCs w:val="24"/>
          <w:lang w:eastAsia="pl-PL"/>
        </w:rPr>
        <w:t xml:space="preserve"> ustala się w zaokrągleniu do pełnych złotych.</w:t>
      </w:r>
    </w:p>
    <w:p w:rsidR="001B3426" w:rsidRPr="001B3426" w:rsidRDefault="001B3426" w:rsidP="001B3426">
      <w:pPr>
        <w:numPr>
          <w:ilvl w:val="0"/>
          <w:numId w:val="29"/>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Wysokość stawki, o której mowa w ust. 1 w pkt 4 ustala się z dokładnością do czterech miejsc po przecinku</w:t>
      </w:r>
      <w:r w:rsidR="00CF44AC">
        <w:rPr>
          <w:rFonts w:ascii="Times New Roman" w:eastAsia="Times New Roman" w:hAnsi="Times New Roman" w:cs="Times New Roman"/>
          <w:sz w:val="24"/>
          <w:szCs w:val="24"/>
          <w:lang w:eastAsia="pl-PL"/>
        </w:rPr>
        <w:t xml:space="preserve"> i wyraża w procentach</w:t>
      </w:r>
      <w:r w:rsidRPr="001B3426">
        <w:rPr>
          <w:rFonts w:ascii="Times New Roman" w:eastAsia="Times New Roman" w:hAnsi="Times New Roman" w:cs="Times New Roman"/>
          <w:sz w:val="24"/>
          <w:szCs w:val="24"/>
          <w:lang w:eastAsia="pl-PL"/>
        </w:rPr>
        <w:t>.</w:t>
      </w:r>
    </w:p>
    <w:p w:rsidR="001B3426" w:rsidRPr="001B3426" w:rsidRDefault="001B3426" w:rsidP="001B3426">
      <w:pPr>
        <w:numPr>
          <w:ilvl w:val="0"/>
          <w:numId w:val="29"/>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Wartość współczynnika, o którym mowa w ust. 1 w:</w:t>
      </w:r>
    </w:p>
    <w:p w:rsidR="001B3426" w:rsidRPr="001B3426" w:rsidRDefault="001B3426" w:rsidP="001B3426">
      <w:pPr>
        <w:numPr>
          <w:ilvl w:val="0"/>
          <w:numId w:val="30"/>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pkt 5</w:t>
      </w:r>
      <w:r w:rsidR="006531F4">
        <w:rPr>
          <w:rFonts w:ascii="Times New Roman" w:eastAsia="Times New Roman" w:hAnsi="Times New Roman" w:cs="Times New Roman"/>
          <w:sz w:val="24"/>
          <w:szCs w:val="24"/>
          <w:lang w:eastAsia="pl-PL"/>
        </w:rPr>
        <w:t xml:space="preserve"> </w:t>
      </w:r>
      <w:r w:rsidRPr="001B3426">
        <w:rPr>
          <w:rFonts w:ascii="Times New Roman" w:eastAsia="Times New Roman" w:hAnsi="Times New Roman" w:cs="Times New Roman"/>
          <w:sz w:val="24"/>
          <w:szCs w:val="24"/>
          <w:lang w:eastAsia="pl-PL"/>
        </w:rPr>
        <w:t xml:space="preserve">– </w:t>
      </w:r>
      <w:r w:rsidR="00FF13AD">
        <w:rPr>
          <w:rFonts w:ascii="Times New Roman" w:eastAsia="Times New Roman" w:hAnsi="Times New Roman" w:cs="Times New Roman"/>
          <w:sz w:val="24"/>
          <w:szCs w:val="24"/>
          <w:lang w:eastAsia="pl-PL"/>
        </w:rPr>
        <w:t xml:space="preserve">wyraża </w:t>
      </w:r>
      <w:r w:rsidR="00FF13AD" w:rsidRPr="001B3426">
        <w:rPr>
          <w:rFonts w:ascii="Times New Roman" w:eastAsia="Times New Roman" w:hAnsi="Times New Roman" w:cs="Times New Roman"/>
          <w:sz w:val="24"/>
          <w:szCs w:val="24"/>
          <w:lang w:eastAsia="pl-PL"/>
        </w:rPr>
        <w:t>się</w:t>
      </w:r>
      <w:r w:rsidR="00FF13AD">
        <w:rPr>
          <w:rFonts w:ascii="Times New Roman" w:eastAsia="Times New Roman" w:hAnsi="Times New Roman" w:cs="Times New Roman"/>
          <w:sz w:val="24"/>
          <w:szCs w:val="24"/>
          <w:lang w:eastAsia="pl-PL"/>
        </w:rPr>
        <w:t xml:space="preserve"> w procentach</w:t>
      </w:r>
      <w:r w:rsidR="00FF13AD" w:rsidRPr="001B3426">
        <w:rPr>
          <w:rFonts w:ascii="Times New Roman" w:eastAsia="Times New Roman" w:hAnsi="Times New Roman" w:cs="Times New Roman"/>
          <w:sz w:val="24"/>
          <w:szCs w:val="24"/>
          <w:lang w:eastAsia="pl-PL"/>
        </w:rPr>
        <w:t xml:space="preserve"> </w:t>
      </w:r>
      <w:r w:rsidR="00FF13AD">
        <w:rPr>
          <w:rFonts w:ascii="Times New Roman" w:eastAsia="Times New Roman" w:hAnsi="Times New Roman" w:cs="Times New Roman"/>
          <w:sz w:val="24"/>
          <w:szCs w:val="24"/>
          <w:lang w:eastAsia="pl-PL"/>
        </w:rPr>
        <w:t xml:space="preserve">i </w:t>
      </w:r>
      <w:r w:rsidRPr="001B3426">
        <w:rPr>
          <w:rFonts w:ascii="Times New Roman" w:eastAsia="Times New Roman" w:hAnsi="Times New Roman" w:cs="Times New Roman"/>
          <w:sz w:val="24"/>
          <w:szCs w:val="24"/>
          <w:lang w:eastAsia="pl-PL"/>
        </w:rPr>
        <w:t>ustala z dokładnością do dwóch miejsc po przecinku;</w:t>
      </w:r>
    </w:p>
    <w:p w:rsidR="001B3426" w:rsidRPr="001B3426" w:rsidRDefault="001B3426" w:rsidP="001B3426">
      <w:pPr>
        <w:numPr>
          <w:ilvl w:val="0"/>
          <w:numId w:val="30"/>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pkt 6 – </w:t>
      </w:r>
      <w:r w:rsidR="00FF13AD">
        <w:rPr>
          <w:rFonts w:ascii="Times New Roman" w:eastAsia="Times New Roman" w:hAnsi="Times New Roman" w:cs="Times New Roman"/>
          <w:sz w:val="24"/>
          <w:szCs w:val="24"/>
          <w:lang w:eastAsia="pl-PL"/>
        </w:rPr>
        <w:t xml:space="preserve">wyraża </w:t>
      </w:r>
      <w:r w:rsidR="00FF13AD" w:rsidRPr="001B3426">
        <w:rPr>
          <w:rFonts w:ascii="Times New Roman" w:eastAsia="Times New Roman" w:hAnsi="Times New Roman" w:cs="Times New Roman"/>
          <w:sz w:val="24"/>
          <w:szCs w:val="24"/>
          <w:lang w:eastAsia="pl-PL"/>
        </w:rPr>
        <w:t>się</w:t>
      </w:r>
      <w:r w:rsidR="00FF13AD">
        <w:rPr>
          <w:rFonts w:ascii="Times New Roman" w:eastAsia="Times New Roman" w:hAnsi="Times New Roman" w:cs="Times New Roman"/>
          <w:sz w:val="24"/>
          <w:szCs w:val="24"/>
          <w:lang w:eastAsia="pl-PL"/>
        </w:rPr>
        <w:t xml:space="preserve"> w procentach</w:t>
      </w:r>
      <w:r w:rsidR="00FF13AD" w:rsidRPr="001B3426">
        <w:rPr>
          <w:rFonts w:ascii="Times New Roman" w:eastAsia="Times New Roman" w:hAnsi="Times New Roman" w:cs="Times New Roman"/>
          <w:sz w:val="24"/>
          <w:szCs w:val="24"/>
          <w:lang w:eastAsia="pl-PL"/>
        </w:rPr>
        <w:t xml:space="preserve"> </w:t>
      </w:r>
      <w:r w:rsidR="00FF13AD">
        <w:rPr>
          <w:rFonts w:ascii="Times New Roman" w:eastAsia="Times New Roman" w:hAnsi="Times New Roman" w:cs="Times New Roman"/>
          <w:sz w:val="24"/>
          <w:szCs w:val="24"/>
          <w:lang w:eastAsia="pl-PL"/>
        </w:rPr>
        <w:t xml:space="preserve">i </w:t>
      </w:r>
      <w:r w:rsidRPr="001B3426">
        <w:rPr>
          <w:rFonts w:ascii="Times New Roman" w:eastAsia="Times New Roman" w:hAnsi="Times New Roman" w:cs="Times New Roman"/>
          <w:sz w:val="24"/>
          <w:szCs w:val="24"/>
          <w:lang w:eastAsia="pl-PL"/>
        </w:rPr>
        <w:t>ustala z dokładnością do sześciu miejsc po przecinku.</w:t>
      </w:r>
    </w:p>
    <w:p w:rsidR="001B3426" w:rsidRPr="001B3426" w:rsidRDefault="001B3426" w:rsidP="001B3426">
      <w:pPr>
        <w:spacing w:after="0" w:line="240" w:lineRule="auto"/>
        <w:ind w:firstLine="357"/>
        <w:jc w:val="both"/>
        <w:rPr>
          <w:rFonts w:ascii="Times New Roman" w:eastAsia="Times New Roman" w:hAnsi="Times New Roman" w:cs="Times New Roman"/>
          <w:b/>
          <w:sz w:val="24"/>
          <w:szCs w:val="24"/>
          <w:lang w:eastAsia="pl-PL"/>
        </w:rPr>
      </w:pPr>
    </w:p>
    <w:p w:rsidR="001B3426" w:rsidRPr="001B3426" w:rsidRDefault="001B3426" w:rsidP="001B3426">
      <w:pPr>
        <w:spacing w:before="120" w:after="0" w:line="240" w:lineRule="auto"/>
        <w:ind w:firstLine="360"/>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23</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Kwota kosztów nadzoru netto, ustalona zgodnie z § </w:t>
      </w:r>
      <w:r w:rsidR="006531F4">
        <w:rPr>
          <w:rFonts w:ascii="Times New Roman" w:eastAsia="Times New Roman" w:hAnsi="Times New Roman" w:cs="Times New Roman"/>
          <w:sz w:val="24"/>
          <w:szCs w:val="24"/>
          <w:lang w:eastAsia="pl-PL"/>
        </w:rPr>
        <w:t>22</w:t>
      </w:r>
      <w:r w:rsidRPr="001B3426">
        <w:rPr>
          <w:rFonts w:ascii="Times New Roman" w:eastAsia="Times New Roman" w:hAnsi="Times New Roman" w:cs="Times New Roman"/>
          <w:sz w:val="24"/>
          <w:szCs w:val="24"/>
          <w:lang w:eastAsia="pl-PL"/>
        </w:rPr>
        <w:t xml:space="preserve"> ust. 2,</w:t>
      </w:r>
      <w:r w:rsidRPr="001B3426">
        <w:rPr>
          <w:rFonts w:ascii="Times New Roman" w:eastAsia="Times New Roman" w:hAnsi="Times New Roman" w:cs="Times New Roman"/>
          <w:b/>
          <w:sz w:val="24"/>
          <w:szCs w:val="24"/>
          <w:lang w:eastAsia="pl-PL"/>
        </w:rPr>
        <w:t xml:space="preserve"> </w:t>
      </w:r>
      <w:r w:rsidRPr="001B3426">
        <w:rPr>
          <w:rFonts w:ascii="Times New Roman" w:eastAsia="Times New Roman" w:hAnsi="Times New Roman" w:cs="Times New Roman"/>
          <w:sz w:val="24"/>
          <w:szCs w:val="24"/>
          <w:lang w:eastAsia="pl-PL"/>
        </w:rPr>
        <w:t>podlega podziałowi pomiędzy:</w:t>
      </w:r>
    </w:p>
    <w:p w:rsidR="001B3426" w:rsidRPr="00923C48" w:rsidRDefault="001B3426" w:rsidP="00071C01">
      <w:pPr>
        <w:numPr>
          <w:ilvl w:val="0"/>
          <w:numId w:val="20"/>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I, którą stanowi Krajowy Depozyt – z udziałem w wysokości 15%;</w:t>
      </w:r>
    </w:p>
    <w:p w:rsidR="001B3426" w:rsidRPr="001B3426" w:rsidRDefault="001B3426" w:rsidP="00071C01">
      <w:pPr>
        <w:numPr>
          <w:ilvl w:val="0"/>
          <w:numId w:val="20"/>
        </w:numPr>
        <w:spacing w:before="120" w:after="0" w:line="240" w:lineRule="auto"/>
        <w:ind w:left="714" w:hanging="35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II,</w:t>
      </w:r>
      <w:r w:rsidRPr="001B3426">
        <w:rPr>
          <w:rFonts w:ascii="Times New Roman" w:eastAsia="Times New Roman" w:hAnsi="Times New Roman" w:cs="Times New Roman"/>
          <w:i/>
          <w:sz w:val="24"/>
          <w:szCs w:val="24"/>
          <w:lang w:eastAsia="pl-PL"/>
        </w:rPr>
        <w:t xml:space="preserve"> </w:t>
      </w:r>
      <w:r w:rsidRPr="001B3426">
        <w:rPr>
          <w:rFonts w:ascii="Times New Roman" w:eastAsia="Times New Roman" w:hAnsi="Times New Roman" w:cs="Times New Roman"/>
          <w:sz w:val="24"/>
          <w:szCs w:val="24"/>
          <w:lang w:eastAsia="pl-PL"/>
        </w:rPr>
        <w:t>w skład której wchodzą spółki:</w:t>
      </w:r>
    </w:p>
    <w:p w:rsidR="001B3426" w:rsidRPr="001B3426" w:rsidRDefault="001B3426" w:rsidP="001B3426">
      <w:pPr>
        <w:numPr>
          <w:ilvl w:val="0"/>
          <w:numId w:val="35"/>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prowadzące giełdę, </w:t>
      </w:r>
    </w:p>
    <w:p w:rsidR="001B3426" w:rsidRPr="001B3426" w:rsidRDefault="001B3426" w:rsidP="001B3426">
      <w:pPr>
        <w:numPr>
          <w:ilvl w:val="0"/>
          <w:numId w:val="35"/>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prowadzące rynek pozagiełdowy,</w:t>
      </w:r>
      <w:r w:rsidR="00923C48" w:rsidRPr="00923C48">
        <w:rPr>
          <w:rFonts w:ascii="Times New Roman" w:eastAsia="Times New Roman" w:hAnsi="Times New Roman" w:cs="Times New Roman"/>
          <w:sz w:val="24"/>
          <w:szCs w:val="24"/>
          <w:lang w:eastAsia="pl-PL"/>
        </w:rPr>
        <w:t xml:space="preserve"> </w:t>
      </w:r>
    </w:p>
    <w:p w:rsidR="001B3426" w:rsidRPr="001B3426" w:rsidRDefault="001B3426" w:rsidP="001B3426">
      <w:pPr>
        <w:numPr>
          <w:ilvl w:val="0"/>
          <w:numId w:val="35"/>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prowadzące giełdę towarową </w:t>
      </w:r>
    </w:p>
    <w:p w:rsidR="001B3426" w:rsidRPr="001B3426" w:rsidRDefault="001B3426" w:rsidP="001B3426">
      <w:pPr>
        <w:spacing w:after="0" w:line="240" w:lineRule="auto"/>
        <w:ind w:left="720"/>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z udziałem w wysokości w wysokości 20%;</w:t>
      </w:r>
    </w:p>
    <w:p w:rsidR="001B3426" w:rsidRPr="001B3426" w:rsidRDefault="001B3426" w:rsidP="00071C01">
      <w:pPr>
        <w:numPr>
          <w:ilvl w:val="0"/>
          <w:numId w:val="20"/>
        </w:numPr>
        <w:spacing w:before="120" w:after="0" w:line="240" w:lineRule="auto"/>
        <w:ind w:left="714" w:hanging="35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III,</w:t>
      </w:r>
      <w:r w:rsidRPr="001B3426">
        <w:rPr>
          <w:rFonts w:ascii="Times New Roman" w:eastAsia="Times New Roman" w:hAnsi="Times New Roman" w:cs="Times New Roman"/>
          <w:i/>
          <w:sz w:val="24"/>
          <w:szCs w:val="24"/>
          <w:lang w:eastAsia="pl-PL"/>
        </w:rPr>
        <w:t xml:space="preserve"> </w:t>
      </w:r>
      <w:r w:rsidRPr="001B3426">
        <w:rPr>
          <w:rFonts w:ascii="Times New Roman" w:eastAsia="Times New Roman" w:hAnsi="Times New Roman" w:cs="Times New Roman"/>
          <w:sz w:val="24"/>
          <w:szCs w:val="24"/>
          <w:lang w:eastAsia="pl-PL"/>
        </w:rPr>
        <w:t>w skład której wchodzą spółki:</w:t>
      </w:r>
    </w:p>
    <w:p w:rsidR="001B3426" w:rsidRPr="001B3426" w:rsidRDefault="001B3426" w:rsidP="001B3426">
      <w:pPr>
        <w:numPr>
          <w:ilvl w:val="0"/>
          <w:numId w:val="36"/>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prowadzące izbę rozliczeniową oraz spółki, którym Krajowy Depozyt przekazał wykonywanie czynności z zakresu rozliczania transakcji,</w:t>
      </w:r>
    </w:p>
    <w:p w:rsidR="001B3426" w:rsidRPr="001B3426" w:rsidRDefault="001B3426" w:rsidP="001B3426">
      <w:pPr>
        <w:numPr>
          <w:ilvl w:val="0"/>
          <w:numId w:val="36"/>
        </w:numPr>
        <w:spacing w:before="120" w:after="0" w:line="240" w:lineRule="auto"/>
        <w:contextualSpacing/>
        <w:jc w:val="both"/>
      </w:pPr>
      <w:r w:rsidRPr="001B3426">
        <w:rPr>
          <w:rFonts w:ascii="Times New Roman" w:eastAsia="Times New Roman" w:hAnsi="Times New Roman" w:cs="Times New Roman"/>
          <w:sz w:val="24"/>
          <w:szCs w:val="24"/>
          <w:lang w:eastAsia="pl-PL"/>
        </w:rPr>
        <w:t>prowadzące izbę rozrachunkową oraz spółki, którym Krajowy Depozyt przekazał wykonywanie czynności z zakresu rozrachunku transakcji,</w:t>
      </w:r>
      <w:r w:rsidRPr="001B3426">
        <w:t xml:space="preserve"> </w:t>
      </w:r>
    </w:p>
    <w:p w:rsidR="001B3426" w:rsidRPr="001B3426" w:rsidRDefault="001B3426" w:rsidP="001B3426">
      <w:pPr>
        <w:numPr>
          <w:ilvl w:val="0"/>
          <w:numId w:val="36"/>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prowadzące izbę rozliczeniową i rozrachunkową, które wykonują funkcję giełdowej izby rozrachunkowej,</w:t>
      </w:r>
    </w:p>
    <w:p w:rsidR="001B3426" w:rsidRPr="001B3426" w:rsidRDefault="001B3426" w:rsidP="001B3426">
      <w:pPr>
        <w:numPr>
          <w:ilvl w:val="0"/>
          <w:numId w:val="36"/>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prowadzące giełdową izbę rozrachunkową,</w:t>
      </w:r>
    </w:p>
    <w:p w:rsidR="001B3426" w:rsidRPr="001B3426" w:rsidRDefault="001B3426" w:rsidP="001B3426">
      <w:pPr>
        <w:numPr>
          <w:ilvl w:val="0"/>
          <w:numId w:val="36"/>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pełniące funkcję giełdowej izby rozrachunkowej, jeżeli Krajowy Depozyt przekazał takiej spółce wykonywanie czynności z zakresu zadań, o których mowa w art. 48 ust. 2 ustawy o obrocie instrumentami finansowymi</w:t>
      </w:r>
    </w:p>
    <w:p w:rsidR="001B3426" w:rsidRPr="001B3426" w:rsidRDefault="001B3426" w:rsidP="00071C01">
      <w:pPr>
        <w:spacing w:after="0" w:line="240" w:lineRule="auto"/>
        <w:ind w:left="709"/>
        <w:jc w:val="both"/>
        <w:rPr>
          <w:rFonts w:ascii="Times New Roman" w:eastAsia="Times New Roman" w:hAnsi="Times New Roman" w:cs="Times New Roman"/>
          <w:sz w:val="24"/>
          <w:szCs w:val="24"/>
          <w:highlight w:val="yellow"/>
          <w:lang w:eastAsia="pl-PL"/>
        </w:rPr>
      </w:pPr>
      <w:r w:rsidRPr="001B3426">
        <w:rPr>
          <w:rFonts w:ascii="Times New Roman" w:eastAsia="Times New Roman" w:hAnsi="Times New Roman" w:cs="Times New Roman"/>
          <w:sz w:val="24"/>
          <w:szCs w:val="24"/>
          <w:lang w:eastAsia="pl-PL"/>
        </w:rPr>
        <w:t>–</w:t>
      </w:r>
      <w:r w:rsidR="00923C48">
        <w:rPr>
          <w:rFonts w:ascii="Times New Roman" w:eastAsia="Times New Roman" w:hAnsi="Times New Roman" w:cs="Times New Roman"/>
          <w:sz w:val="24"/>
          <w:szCs w:val="24"/>
          <w:lang w:eastAsia="pl-PL"/>
        </w:rPr>
        <w:t xml:space="preserve"> niezależnie od tego czy prowadzą działalność dla giełdy czy dla giełdy towarowej</w:t>
      </w:r>
      <w:r w:rsidRPr="001B3426">
        <w:rPr>
          <w:rFonts w:ascii="Times New Roman" w:eastAsia="Times New Roman" w:hAnsi="Times New Roman" w:cs="Times New Roman"/>
          <w:sz w:val="24"/>
          <w:szCs w:val="24"/>
          <w:lang w:eastAsia="pl-PL"/>
        </w:rPr>
        <w:t xml:space="preserve"> </w:t>
      </w:r>
      <w:r w:rsidR="00923C48">
        <w:rPr>
          <w:rFonts w:ascii="Times New Roman" w:eastAsia="Times New Roman" w:hAnsi="Times New Roman" w:cs="Times New Roman"/>
          <w:sz w:val="24"/>
          <w:szCs w:val="24"/>
          <w:lang w:eastAsia="pl-PL"/>
        </w:rPr>
        <w:t xml:space="preserve">– </w:t>
      </w:r>
      <w:r w:rsidRPr="001B3426">
        <w:rPr>
          <w:rFonts w:ascii="Times New Roman" w:eastAsia="Times New Roman" w:hAnsi="Times New Roman" w:cs="Times New Roman"/>
          <w:sz w:val="24"/>
          <w:szCs w:val="24"/>
          <w:lang w:eastAsia="pl-PL"/>
        </w:rPr>
        <w:t>z udziałem w wysokości w wysokości 8,5%;</w:t>
      </w:r>
    </w:p>
    <w:p w:rsidR="001B3426" w:rsidRPr="001B3426" w:rsidRDefault="001B3426" w:rsidP="00071C01">
      <w:pPr>
        <w:numPr>
          <w:ilvl w:val="0"/>
          <w:numId w:val="20"/>
        </w:numPr>
        <w:spacing w:before="120" w:after="0" w:line="240" w:lineRule="auto"/>
        <w:ind w:left="714" w:hanging="35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IV,</w:t>
      </w:r>
      <w:r w:rsidRPr="001B3426">
        <w:rPr>
          <w:rFonts w:ascii="Times New Roman" w:eastAsia="Times New Roman" w:hAnsi="Times New Roman" w:cs="Times New Roman"/>
          <w:i/>
          <w:sz w:val="24"/>
          <w:szCs w:val="24"/>
          <w:lang w:eastAsia="pl-PL"/>
        </w:rPr>
        <w:t xml:space="preserve"> </w:t>
      </w:r>
      <w:r w:rsidRPr="001B3426">
        <w:rPr>
          <w:rFonts w:ascii="Times New Roman" w:eastAsia="Times New Roman" w:hAnsi="Times New Roman" w:cs="Times New Roman"/>
          <w:sz w:val="24"/>
          <w:szCs w:val="24"/>
          <w:lang w:eastAsia="pl-PL"/>
        </w:rPr>
        <w:t>w skład której wchodzą:</w:t>
      </w:r>
    </w:p>
    <w:p w:rsidR="001B3426" w:rsidRPr="001B3426" w:rsidRDefault="001B3426" w:rsidP="001B3426">
      <w:pPr>
        <w:numPr>
          <w:ilvl w:val="0"/>
          <w:numId w:val="37"/>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domy maklerskie,</w:t>
      </w:r>
    </w:p>
    <w:p w:rsidR="001B3426" w:rsidRPr="001B3426" w:rsidRDefault="001B3426" w:rsidP="001B3426">
      <w:pPr>
        <w:numPr>
          <w:ilvl w:val="0"/>
          <w:numId w:val="37"/>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zagraniczne firmy inwestycyjne prowadzące działalność maklerską na terytorium Rzeczypospolitej Polskiej w formie oddziału oraz zagraniczne osoby prawne prowadzące taką działalność na terytorium Rzeczypospolitej Polskiej,</w:t>
      </w:r>
    </w:p>
    <w:p w:rsidR="001B3426" w:rsidRPr="001B3426" w:rsidRDefault="001B3426" w:rsidP="001B3426">
      <w:pPr>
        <w:numPr>
          <w:ilvl w:val="0"/>
          <w:numId w:val="37"/>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towarowe domy maklerskie,</w:t>
      </w:r>
    </w:p>
    <w:p w:rsidR="001B3426" w:rsidRPr="001B3426" w:rsidRDefault="001B3426" w:rsidP="001B3426">
      <w:pPr>
        <w:numPr>
          <w:ilvl w:val="0"/>
          <w:numId w:val="37"/>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zagraniczne osoby prawne, o których mowa w art. 50 ust. 1 ustawy o giełdach towarowych, prowadzące działalność na terytorium Rzeczypospolitej Polskiej w formie oddziału</w:t>
      </w:r>
    </w:p>
    <w:p w:rsidR="001B3426" w:rsidRPr="001B3426" w:rsidRDefault="001B3426" w:rsidP="001B3426">
      <w:pPr>
        <w:spacing w:after="0" w:line="240" w:lineRule="auto"/>
        <w:ind w:left="720"/>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z udziałem w wysokości w wysokości w wysokości 14,5%;</w:t>
      </w:r>
    </w:p>
    <w:p w:rsidR="001B3426" w:rsidRPr="001B3426" w:rsidRDefault="001B3426" w:rsidP="001B3426">
      <w:pPr>
        <w:numPr>
          <w:ilvl w:val="0"/>
          <w:numId w:val="20"/>
        </w:numPr>
        <w:spacing w:before="120" w:after="0" w:line="240" w:lineRule="auto"/>
        <w:ind w:left="714" w:hanging="35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V,</w:t>
      </w:r>
      <w:r w:rsidRPr="001B3426">
        <w:rPr>
          <w:rFonts w:ascii="Times New Roman" w:eastAsia="Times New Roman" w:hAnsi="Times New Roman" w:cs="Times New Roman"/>
          <w:i/>
          <w:sz w:val="24"/>
          <w:szCs w:val="24"/>
          <w:lang w:eastAsia="pl-PL"/>
        </w:rPr>
        <w:t xml:space="preserve"> </w:t>
      </w:r>
      <w:r w:rsidRPr="001B3426">
        <w:rPr>
          <w:rFonts w:ascii="Times New Roman" w:eastAsia="Times New Roman" w:hAnsi="Times New Roman" w:cs="Times New Roman"/>
          <w:sz w:val="24"/>
          <w:szCs w:val="24"/>
          <w:lang w:eastAsia="pl-PL"/>
        </w:rPr>
        <w:t xml:space="preserve">w skład której wchodzą towarzystwa funduszy inwestycyjnych </w:t>
      </w:r>
      <w:r w:rsidR="005D2FF6">
        <w:rPr>
          <w:rFonts w:ascii="Times New Roman" w:eastAsia="Times New Roman" w:hAnsi="Times New Roman" w:cs="Times New Roman"/>
          <w:sz w:val="24"/>
          <w:szCs w:val="24"/>
          <w:lang w:eastAsia="pl-PL"/>
        </w:rPr>
        <w:t xml:space="preserve">oraz podmioty, o których mowa w art. 32 ust. 2 ustawy o funduszach inwestycyjnych wnoszące opłaty na zasadach określonych w art. 236 ust. 2c zdanie drugie tej ustawy </w:t>
      </w:r>
      <w:r w:rsidRPr="001B3426">
        <w:rPr>
          <w:rFonts w:ascii="Times New Roman" w:eastAsia="Times New Roman" w:hAnsi="Times New Roman" w:cs="Times New Roman"/>
          <w:sz w:val="24"/>
          <w:szCs w:val="24"/>
          <w:lang w:eastAsia="pl-PL"/>
        </w:rPr>
        <w:t>– z udziałem w wysokości w wysokości w wysokości 18%;</w:t>
      </w:r>
    </w:p>
    <w:p w:rsidR="001B3426" w:rsidRPr="001B3426" w:rsidRDefault="001B3426" w:rsidP="001B3426">
      <w:pPr>
        <w:numPr>
          <w:ilvl w:val="0"/>
          <w:numId w:val="20"/>
        </w:numPr>
        <w:spacing w:before="120" w:after="0" w:line="240" w:lineRule="auto"/>
        <w:ind w:left="714" w:hanging="357"/>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grupę VI,</w:t>
      </w:r>
      <w:r w:rsidRPr="001B3426">
        <w:rPr>
          <w:rFonts w:ascii="Times New Roman" w:eastAsia="Times New Roman" w:hAnsi="Times New Roman" w:cs="Times New Roman"/>
          <w:i/>
          <w:sz w:val="24"/>
          <w:szCs w:val="24"/>
          <w:lang w:eastAsia="pl-PL"/>
        </w:rPr>
        <w:t xml:space="preserve"> </w:t>
      </w:r>
      <w:r w:rsidRPr="001B3426">
        <w:rPr>
          <w:rFonts w:ascii="Times New Roman" w:eastAsia="Times New Roman" w:hAnsi="Times New Roman" w:cs="Times New Roman"/>
          <w:sz w:val="24"/>
          <w:szCs w:val="24"/>
          <w:lang w:eastAsia="pl-PL"/>
        </w:rPr>
        <w:t>w skład której wchodzą</w:t>
      </w:r>
      <w:r w:rsidRPr="001B3426">
        <w:t xml:space="preserve"> </w:t>
      </w:r>
      <w:r w:rsidRPr="001B3426">
        <w:rPr>
          <w:rFonts w:ascii="Times New Roman" w:eastAsia="Times New Roman" w:hAnsi="Times New Roman" w:cs="Times New Roman"/>
          <w:sz w:val="24"/>
          <w:szCs w:val="24"/>
          <w:lang w:eastAsia="pl-PL"/>
        </w:rPr>
        <w:t xml:space="preserve">spółki publiczne, </w:t>
      </w:r>
      <w:r w:rsidR="008B7B85">
        <w:rPr>
          <w:rFonts w:ascii="Times New Roman" w:eastAsia="Times New Roman" w:hAnsi="Times New Roman" w:cs="Times New Roman"/>
          <w:sz w:val="24"/>
          <w:szCs w:val="24"/>
          <w:lang w:eastAsia="pl-PL"/>
        </w:rPr>
        <w:t xml:space="preserve">o </w:t>
      </w:r>
      <w:r w:rsidRPr="001B3426">
        <w:rPr>
          <w:rFonts w:ascii="Times New Roman" w:eastAsia="Times New Roman" w:hAnsi="Times New Roman" w:cs="Times New Roman"/>
          <w:sz w:val="24"/>
          <w:szCs w:val="24"/>
          <w:lang w:eastAsia="pl-PL"/>
        </w:rPr>
        <w:t>których</w:t>
      </w:r>
      <w:r w:rsidR="008B7B85">
        <w:rPr>
          <w:rFonts w:ascii="Times New Roman" w:eastAsia="Times New Roman" w:hAnsi="Times New Roman" w:cs="Times New Roman"/>
          <w:sz w:val="24"/>
          <w:szCs w:val="24"/>
          <w:lang w:eastAsia="pl-PL"/>
        </w:rPr>
        <w:t xml:space="preserve"> mowa w art. 94a ust. 1</w:t>
      </w:r>
      <w:r w:rsidRPr="001B3426">
        <w:rPr>
          <w:rFonts w:ascii="Times New Roman" w:eastAsia="Times New Roman" w:hAnsi="Times New Roman" w:cs="Times New Roman"/>
          <w:sz w:val="24"/>
          <w:szCs w:val="24"/>
          <w:lang w:eastAsia="pl-PL"/>
        </w:rPr>
        <w:t xml:space="preserve"> </w:t>
      </w:r>
      <w:r w:rsidR="008B7B85">
        <w:rPr>
          <w:rFonts w:ascii="Times New Roman" w:eastAsia="Times New Roman" w:hAnsi="Times New Roman" w:cs="Times New Roman"/>
          <w:sz w:val="24"/>
          <w:szCs w:val="24"/>
          <w:lang w:eastAsia="pl-PL"/>
        </w:rPr>
        <w:t>ustawy o ofercie publicznej</w:t>
      </w:r>
      <w:r w:rsidRPr="001B3426">
        <w:rPr>
          <w:rFonts w:ascii="Times New Roman" w:eastAsia="Times New Roman" w:hAnsi="Times New Roman" w:cs="Times New Roman"/>
          <w:sz w:val="24"/>
          <w:szCs w:val="24"/>
          <w:lang w:eastAsia="pl-PL"/>
        </w:rPr>
        <w:t xml:space="preserve"> – z udziałem w wysokości w wysokości w wysokości 24%.</w:t>
      </w:r>
    </w:p>
    <w:p w:rsidR="001B3426" w:rsidRPr="001B3426" w:rsidRDefault="001B3426" w:rsidP="001B3426">
      <w:pPr>
        <w:spacing w:before="120" w:after="0" w:line="240" w:lineRule="auto"/>
        <w:jc w:val="both"/>
        <w:rPr>
          <w:rFonts w:ascii="Times New Roman" w:eastAsia="Times New Roman" w:hAnsi="Times New Roman" w:cs="Times New Roman"/>
          <w:sz w:val="24"/>
          <w:szCs w:val="24"/>
          <w:lang w:eastAsia="pl-PL"/>
        </w:rPr>
      </w:pPr>
    </w:p>
    <w:p w:rsidR="001B3426" w:rsidRPr="001B3426" w:rsidRDefault="00EF1CEF" w:rsidP="001B3426">
      <w:pPr>
        <w:spacing w:before="120"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1B3426"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24</w:t>
      </w:r>
      <w:r w:rsidR="001B3426" w:rsidRPr="001B3426">
        <w:rPr>
          <w:rFonts w:ascii="Times New Roman" w:eastAsia="Times New Roman" w:hAnsi="Times New Roman" w:cs="Times New Roman"/>
          <w:b/>
          <w:sz w:val="24"/>
          <w:szCs w:val="24"/>
          <w:lang w:eastAsia="pl-PL"/>
        </w:rPr>
        <w:t>.</w:t>
      </w:r>
      <w:r w:rsidR="001B3426" w:rsidRPr="001B3426">
        <w:rPr>
          <w:rFonts w:ascii="Times New Roman" w:eastAsia="Times New Roman" w:hAnsi="Times New Roman" w:cs="Times New Roman"/>
          <w:sz w:val="24"/>
          <w:szCs w:val="24"/>
          <w:lang w:eastAsia="pl-PL"/>
        </w:rPr>
        <w:t xml:space="preserve"> 1. Opłatę należną od podmiotu w danej grupie za dany rok kalendarzowy oblicza się według wzoru:</w:t>
      </w:r>
    </w:p>
    <w:p w:rsidR="001B3426" w:rsidRPr="001B3426" w:rsidRDefault="001B3426" w:rsidP="001B3426">
      <w:pPr>
        <w:spacing w:before="120" w:after="0" w:line="240" w:lineRule="auto"/>
        <w:ind w:left="2124" w:firstLine="708"/>
        <w:jc w:val="both"/>
        <w:rPr>
          <w:rFonts w:ascii="Times New Roman" w:eastAsia="Times New Roman" w:hAnsi="Times New Roman" w:cs="Times New Roman"/>
          <w:b/>
          <w:i/>
          <w:sz w:val="24"/>
          <w:szCs w:val="24"/>
          <w:lang w:eastAsia="pl-PL"/>
        </w:rPr>
      </w:pPr>
    </w:p>
    <w:p w:rsidR="001B3426" w:rsidRPr="001B3426" w:rsidRDefault="001B3426" w:rsidP="001B3426">
      <w:pPr>
        <w:spacing w:before="120" w:after="0" w:line="240" w:lineRule="auto"/>
        <w:ind w:left="2124" w:firstLine="708"/>
        <w:jc w:val="both"/>
        <w:rPr>
          <w:rFonts w:ascii="Times New Roman" w:eastAsia="Times New Roman" w:hAnsi="Times New Roman" w:cs="Times New Roman"/>
          <w:b/>
          <w:sz w:val="24"/>
          <w:szCs w:val="24"/>
          <w:lang w:eastAsia="pl-PL"/>
        </w:rPr>
      </w:pPr>
      <w:r w:rsidRPr="001B3426">
        <w:rPr>
          <w:rFonts w:ascii="Times New Roman" w:eastAsia="Times New Roman" w:hAnsi="Times New Roman" w:cs="Times New Roman"/>
          <w:b/>
          <w:i/>
          <w:sz w:val="24"/>
          <w:szCs w:val="24"/>
          <w:lang w:eastAsia="pl-PL"/>
        </w:rPr>
        <w:t>WN</w:t>
      </w:r>
      <w:r w:rsidRPr="001B3426">
        <w:rPr>
          <w:rFonts w:ascii="Times New Roman" w:eastAsia="Times New Roman" w:hAnsi="Times New Roman" w:cs="Times New Roman"/>
          <w:b/>
          <w:i/>
          <w:sz w:val="24"/>
          <w:szCs w:val="24"/>
          <w:vertAlign w:val="subscript"/>
          <w:lang w:eastAsia="pl-PL"/>
        </w:rPr>
        <w:t>P</w:t>
      </w:r>
      <w:r w:rsidRPr="001B3426">
        <w:rPr>
          <w:rFonts w:ascii="Times New Roman" w:eastAsia="Times New Roman" w:hAnsi="Times New Roman" w:cs="Times New Roman"/>
          <w:b/>
          <w:sz w:val="24"/>
          <w:szCs w:val="24"/>
          <w:vertAlign w:val="subscript"/>
          <w:lang w:eastAsia="pl-PL"/>
        </w:rPr>
        <w:t xml:space="preserve"> </w:t>
      </w:r>
      <w:r w:rsidRPr="001B3426">
        <w:rPr>
          <w:rFonts w:ascii="Times New Roman" w:eastAsia="Times New Roman" w:hAnsi="Times New Roman" w:cs="Times New Roman"/>
          <w:b/>
          <w:sz w:val="24"/>
          <w:szCs w:val="24"/>
          <w:lang w:eastAsia="pl-PL"/>
        </w:rPr>
        <w:t xml:space="preserve">= </w:t>
      </w:r>
      <w:r w:rsidRPr="001B3426">
        <w:rPr>
          <w:rFonts w:ascii="Times New Roman" w:eastAsia="Times New Roman" w:hAnsi="Times New Roman" w:cs="Times New Roman"/>
          <w:b/>
          <w:i/>
          <w:sz w:val="24"/>
          <w:szCs w:val="24"/>
          <w:lang w:eastAsia="pl-PL"/>
        </w:rPr>
        <w:t>P</w:t>
      </w:r>
      <w:r w:rsidRPr="001B3426">
        <w:rPr>
          <w:rFonts w:ascii="Times New Roman" w:eastAsia="Times New Roman" w:hAnsi="Times New Roman" w:cs="Times New Roman"/>
          <w:b/>
          <w:i/>
          <w:sz w:val="24"/>
          <w:szCs w:val="24"/>
          <w:vertAlign w:val="subscript"/>
          <w:lang w:eastAsia="pl-PL"/>
        </w:rPr>
        <w:t>P</w:t>
      </w:r>
      <w:r w:rsidRPr="001B3426">
        <w:rPr>
          <w:rFonts w:ascii="Times New Roman" w:eastAsia="Times New Roman" w:hAnsi="Times New Roman" w:cs="Times New Roman"/>
          <w:b/>
          <w:i/>
          <w:sz w:val="24"/>
          <w:szCs w:val="24"/>
          <w:lang w:eastAsia="pl-PL"/>
        </w:rPr>
        <w:t xml:space="preserve"> </w:t>
      </w:r>
      <w:r w:rsidRPr="001B3426">
        <w:rPr>
          <w:rFonts w:ascii="Times New Roman" w:eastAsia="Times New Roman" w:hAnsi="Times New Roman" w:cs="Times New Roman"/>
          <w:b/>
          <w:i/>
          <w:sz w:val="18"/>
          <w:szCs w:val="24"/>
          <w:lang w:eastAsia="pl-PL"/>
        </w:rPr>
        <w:t xml:space="preserve">* </w:t>
      </w:r>
      <w:proofErr w:type="spellStart"/>
      <w:r w:rsidRPr="001B3426">
        <w:rPr>
          <w:rFonts w:ascii="Times New Roman" w:eastAsia="Times New Roman" w:hAnsi="Times New Roman" w:cs="Times New Roman"/>
          <w:b/>
          <w:i/>
          <w:sz w:val="24"/>
          <w:szCs w:val="24"/>
          <w:lang w:eastAsia="pl-PL"/>
        </w:rPr>
        <w:t>s</w:t>
      </w:r>
      <w:r w:rsidRPr="001B3426">
        <w:rPr>
          <w:rFonts w:ascii="Times New Roman" w:eastAsia="Times New Roman" w:hAnsi="Times New Roman" w:cs="Times New Roman"/>
          <w:b/>
          <w:i/>
          <w:szCs w:val="24"/>
          <w:vertAlign w:val="subscript"/>
          <w:lang w:eastAsia="pl-PL"/>
        </w:rPr>
        <w:t>Gn</w:t>
      </w:r>
      <w:proofErr w:type="spellEnd"/>
      <w:r w:rsidRPr="001B3426">
        <w:rPr>
          <w:rFonts w:ascii="Times New Roman" w:eastAsia="Times New Roman" w:hAnsi="Times New Roman" w:cs="Times New Roman"/>
          <w:b/>
          <w:i/>
          <w:sz w:val="24"/>
          <w:szCs w:val="24"/>
          <w:lang w:eastAsia="pl-PL"/>
        </w:rPr>
        <w:t xml:space="preserve"> </w:t>
      </w:r>
      <w:r w:rsidRPr="001B3426">
        <w:rPr>
          <w:rFonts w:ascii="Times New Roman" w:eastAsia="Times New Roman" w:hAnsi="Times New Roman" w:cs="Times New Roman"/>
          <w:b/>
          <w:i/>
          <w:sz w:val="18"/>
          <w:szCs w:val="24"/>
          <w:lang w:eastAsia="pl-PL"/>
        </w:rPr>
        <w:t>*</w:t>
      </w:r>
      <w:r w:rsidRPr="001B3426">
        <w:rPr>
          <w:rFonts w:ascii="Times New Roman" w:eastAsia="Times New Roman" w:hAnsi="Times New Roman" w:cs="Times New Roman"/>
          <w:b/>
          <w:i/>
          <w:sz w:val="24"/>
          <w:szCs w:val="24"/>
          <w:lang w:eastAsia="pl-PL"/>
        </w:rPr>
        <w:t xml:space="preserve"> </w:t>
      </w:r>
      <w:proofErr w:type="spellStart"/>
      <w:r w:rsidRPr="001B3426">
        <w:rPr>
          <w:rFonts w:ascii="Times New Roman" w:eastAsia="Times New Roman" w:hAnsi="Times New Roman" w:cs="Times New Roman"/>
          <w:b/>
          <w:i/>
          <w:sz w:val="24"/>
          <w:szCs w:val="24"/>
          <w:lang w:eastAsia="pl-PL"/>
        </w:rPr>
        <w:t>wz</w:t>
      </w:r>
      <w:proofErr w:type="spellEnd"/>
      <w:r w:rsidRPr="001B3426">
        <w:rPr>
          <w:rFonts w:ascii="Times New Roman" w:eastAsia="Times New Roman" w:hAnsi="Times New Roman" w:cs="Times New Roman"/>
          <w:b/>
          <w:i/>
          <w:sz w:val="24"/>
          <w:szCs w:val="24"/>
          <w:lang w:eastAsia="pl-PL"/>
        </w:rPr>
        <w:t xml:space="preserve"> +P</w:t>
      </w:r>
      <w:r w:rsidRPr="001B3426">
        <w:rPr>
          <w:rFonts w:ascii="Times New Roman" w:eastAsia="Times New Roman" w:hAnsi="Times New Roman" w:cs="Times New Roman"/>
          <w:b/>
          <w:i/>
          <w:sz w:val="24"/>
          <w:szCs w:val="24"/>
          <w:vertAlign w:val="subscript"/>
          <w:lang w:eastAsia="pl-PL"/>
        </w:rPr>
        <w:t xml:space="preserve">P </w:t>
      </w:r>
      <w:r w:rsidRPr="001B3426">
        <w:rPr>
          <w:rFonts w:ascii="Times New Roman" w:eastAsia="Times New Roman" w:hAnsi="Times New Roman" w:cs="Times New Roman"/>
          <w:b/>
          <w:i/>
          <w:sz w:val="18"/>
          <w:szCs w:val="24"/>
          <w:lang w:eastAsia="pl-PL"/>
        </w:rPr>
        <w:t>*</w:t>
      </w:r>
      <w:r w:rsidRPr="001B3426">
        <w:rPr>
          <w:rFonts w:ascii="Times New Roman" w:eastAsia="Times New Roman" w:hAnsi="Times New Roman" w:cs="Times New Roman"/>
          <w:b/>
          <w:i/>
          <w:sz w:val="24"/>
          <w:szCs w:val="24"/>
          <w:lang w:eastAsia="pl-PL"/>
        </w:rPr>
        <w:t xml:space="preserve"> </w:t>
      </w:r>
      <w:proofErr w:type="spellStart"/>
      <w:r w:rsidRPr="001B3426">
        <w:rPr>
          <w:rFonts w:ascii="Times New Roman" w:eastAsia="Times New Roman" w:hAnsi="Times New Roman" w:cs="Times New Roman"/>
          <w:b/>
          <w:i/>
          <w:sz w:val="24"/>
          <w:szCs w:val="24"/>
          <w:lang w:eastAsia="pl-PL"/>
        </w:rPr>
        <w:t>wk</w:t>
      </w:r>
      <w:r w:rsidRPr="001B3426">
        <w:rPr>
          <w:rFonts w:ascii="Times New Roman" w:eastAsia="Times New Roman" w:hAnsi="Times New Roman" w:cs="Times New Roman"/>
          <w:b/>
          <w:i/>
          <w:szCs w:val="24"/>
          <w:vertAlign w:val="subscript"/>
          <w:lang w:eastAsia="pl-PL"/>
        </w:rPr>
        <w:t>Gn</w:t>
      </w:r>
      <w:proofErr w:type="spellEnd"/>
    </w:p>
    <w:p w:rsidR="001B3426" w:rsidRPr="001B3426" w:rsidRDefault="001B3426" w:rsidP="001B3426">
      <w:pPr>
        <w:tabs>
          <w:tab w:val="left" w:pos="4157"/>
        </w:tabs>
        <w:spacing w:line="240" w:lineRule="auto"/>
        <w:jc w:val="both"/>
        <w:rPr>
          <w:rFonts w:ascii="Times New Roman" w:hAnsi="Times New Roman" w:cs="Times New Roman"/>
          <w:b/>
          <w:sz w:val="32"/>
          <w:szCs w:val="32"/>
        </w:rPr>
      </w:pPr>
    </w:p>
    <w:p w:rsidR="001B3426" w:rsidRPr="001B3426" w:rsidRDefault="001B3426" w:rsidP="001B3426">
      <w:pPr>
        <w:spacing w:after="0" w:line="240" w:lineRule="auto"/>
        <w:ind w:left="708"/>
        <w:jc w:val="both"/>
        <w:rPr>
          <w:rFonts w:ascii="Times New Roman" w:hAnsi="Times New Roman" w:cs="Times New Roman"/>
          <w:sz w:val="24"/>
          <w:szCs w:val="24"/>
        </w:rPr>
      </w:pPr>
      <w:r w:rsidRPr="001B3426">
        <w:rPr>
          <w:rFonts w:ascii="Times New Roman" w:hAnsi="Times New Roman" w:cs="Times New Roman"/>
          <w:sz w:val="24"/>
          <w:szCs w:val="24"/>
        </w:rPr>
        <w:t xml:space="preserve">gdzie: </w:t>
      </w:r>
    </w:p>
    <w:p w:rsidR="001B3426" w:rsidRPr="001B3426" w:rsidRDefault="001B3426" w:rsidP="001B3426">
      <w:pPr>
        <w:spacing w:after="0" w:line="240" w:lineRule="auto"/>
        <w:ind w:left="1428"/>
        <w:jc w:val="both"/>
        <w:rPr>
          <w:rFonts w:ascii="Times New Roman" w:hAnsi="Times New Roman" w:cs="Times New Roman"/>
          <w:strike/>
          <w:sz w:val="24"/>
          <w:szCs w:val="24"/>
        </w:rPr>
      </w:pPr>
    </w:p>
    <w:p w:rsidR="001B3426" w:rsidRPr="001B3426" w:rsidRDefault="001B3426" w:rsidP="001B3426">
      <w:pPr>
        <w:spacing w:after="0" w:line="240" w:lineRule="auto"/>
        <w:ind w:left="1428"/>
        <w:jc w:val="both"/>
        <w:rPr>
          <w:rFonts w:ascii="Times New Roman" w:hAnsi="Times New Roman" w:cs="Times New Roman"/>
          <w:szCs w:val="24"/>
        </w:rPr>
      </w:pPr>
      <w:r w:rsidRPr="001B3426">
        <w:rPr>
          <w:rFonts w:ascii="Times New Roman" w:eastAsia="Times New Roman" w:hAnsi="Times New Roman" w:cs="Times New Roman"/>
          <w:b/>
          <w:i/>
          <w:szCs w:val="24"/>
          <w:lang w:eastAsia="pl-PL"/>
        </w:rPr>
        <w:t>P</w:t>
      </w:r>
      <w:r w:rsidRPr="001B3426">
        <w:rPr>
          <w:rFonts w:ascii="Times New Roman" w:eastAsia="Times New Roman" w:hAnsi="Times New Roman" w:cs="Times New Roman"/>
          <w:b/>
          <w:i/>
          <w:szCs w:val="24"/>
          <w:vertAlign w:val="subscript"/>
          <w:lang w:eastAsia="pl-PL"/>
        </w:rPr>
        <w:t>P</w:t>
      </w:r>
      <w:r w:rsidRPr="001B3426">
        <w:rPr>
          <w:rFonts w:ascii="Times New Roman" w:eastAsiaTheme="minorEastAsia" w:hAnsi="Times New Roman" w:cs="Times New Roman"/>
          <w:b/>
          <w:i/>
          <w:szCs w:val="24"/>
        </w:rPr>
        <w:t xml:space="preserve"> – </w:t>
      </w:r>
      <w:r w:rsidRPr="001B3426">
        <w:rPr>
          <w:rFonts w:ascii="Times New Roman" w:hAnsi="Times New Roman" w:cs="Times New Roman"/>
          <w:szCs w:val="24"/>
        </w:rPr>
        <w:t xml:space="preserve">oznacza określoną w ustawie podstawę obliczenia opłaty należnej od danego podmiotu </w:t>
      </w:r>
    </w:p>
    <w:p w:rsidR="001B3426" w:rsidRPr="001B3426" w:rsidRDefault="001B3426" w:rsidP="001B3426">
      <w:pPr>
        <w:spacing w:after="0" w:line="240" w:lineRule="auto"/>
        <w:ind w:left="1428"/>
        <w:jc w:val="both"/>
        <w:rPr>
          <w:rFonts w:ascii="Times New Roman" w:hAnsi="Times New Roman" w:cs="Times New Roman"/>
          <w:szCs w:val="24"/>
        </w:rPr>
      </w:pPr>
    </w:p>
    <w:p w:rsidR="001B3426" w:rsidRPr="001B3426" w:rsidRDefault="001B3426" w:rsidP="001B3426">
      <w:pPr>
        <w:spacing w:after="0" w:line="240" w:lineRule="auto"/>
        <w:ind w:left="1843" w:hanging="415"/>
        <w:jc w:val="both"/>
        <w:rPr>
          <w:rFonts w:ascii="Times New Roman" w:hAnsi="Times New Roman" w:cs="Times New Roman"/>
          <w:szCs w:val="24"/>
        </w:rPr>
      </w:pPr>
      <w:proofErr w:type="spellStart"/>
      <w:r w:rsidRPr="001B3426">
        <w:rPr>
          <w:rFonts w:ascii="Times New Roman" w:hAnsi="Times New Roman" w:cs="Times New Roman"/>
          <w:b/>
          <w:i/>
          <w:szCs w:val="24"/>
        </w:rPr>
        <w:t>s</w:t>
      </w:r>
      <w:r w:rsidRPr="001B3426">
        <w:rPr>
          <w:rFonts w:ascii="Times New Roman" w:eastAsia="Times New Roman" w:hAnsi="Times New Roman" w:cs="Times New Roman"/>
          <w:b/>
          <w:i/>
          <w:sz w:val="20"/>
          <w:szCs w:val="24"/>
          <w:vertAlign w:val="subscript"/>
          <w:lang w:eastAsia="pl-PL"/>
        </w:rPr>
        <w:t>Gn</w:t>
      </w:r>
      <w:proofErr w:type="spellEnd"/>
      <w:r w:rsidRPr="001B3426">
        <w:rPr>
          <w:rFonts w:ascii="Times New Roman" w:hAnsi="Times New Roman" w:cs="Times New Roman"/>
          <w:szCs w:val="24"/>
        </w:rPr>
        <w:t xml:space="preserve"> – oznacza stawkę dla grupy, do której przypisany jest dany podmiot zgodnie </w:t>
      </w:r>
      <w:r w:rsidRPr="001B3426">
        <w:rPr>
          <w:rFonts w:ascii="Times New Roman" w:hAnsi="Times New Roman" w:cs="Times New Roman"/>
          <w:szCs w:val="24"/>
        </w:rPr>
        <w:br/>
        <w:t>z § 2</w:t>
      </w:r>
      <w:r w:rsidR="006531F4">
        <w:rPr>
          <w:rFonts w:ascii="Times New Roman" w:hAnsi="Times New Roman" w:cs="Times New Roman"/>
          <w:szCs w:val="24"/>
        </w:rPr>
        <w:t>3</w:t>
      </w:r>
      <w:r w:rsidRPr="001B3426">
        <w:rPr>
          <w:rFonts w:ascii="Times New Roman" w:hAnsi="Times New Roman" w:cs="Times New Roman"/>
          <w:szCs w:val="24"/>
        </w:rPr>
        <w:t>, której wysokość ustalana jest zgodnie z ust. 2</w:t>
      </w:r>
    </w:p>
    <w:p w:rsidR="001B3426" w:rsidRPr="001B3426" w:rsidRDefault="001B3426" w:rsidP="001B3426">
      <w:pPr>
        <w:spacing w:after="0" w:line="240" w:lineRule="auto"/>
        <w:ind w:left="1843" w:hanging="415"/>
        <w:jc w:val="both"/>
        <w:rPr>
          <w:rFonts w:ascii="Times New Roman" w:hAnsi="Times New Roman" w:cs="Times New Roman"/>
          <w:szCs w:val="24"/>
        </w:rPr>
      </w:pPr>
    </w:p>
    <w:p w:rsidR="001B3426" w:rsidRPr="001B3426" w:rsidRDefault="001B3426" w:rsidP="001B3426">
      <w:pPr>
        <w:spacing w:after="0" w:line="240" w:lineRule="auto"/>
        <w:ind w:left="1843" w:hanging="425"/>
        <w:jc w:val="both"/>
        <w:rPr>
          <w:rFonts w:ascii="Times New Roman" w:hAnsi="Times New Roman" w:cs="Times New Roman"/>
          <w:szCs w:val="24"/>
        </w:rPr>
      </w:pPr>
      <w:proofErr w:type="spellStart"/>
      <w:r w:rsidRPr="001B3426">
        <w:rPr>
          <w:rFonts w:ascii="Times New Roman" w:hAnsi="Times New Roman" w:cs="Times New Roman"/>
          <w:b/>
          <w:i/>
          <w:szCs w:val="24"/>
        </w:rPr>
        <w:t>wz</w:t>
      </w:r>
      <w:proofErr w:type="spellEnd"/>
      <w:r w:rsidRPr="001B3426">
        <w:rPr>
          <w:rFonts w:ascii="Times New Roman" w:hAnsi="Times New Roman" w:cs="Times New Roman"/>
          <w:b/>
          <w:i/>
          <w:szCs w:val="24"/>
        </w:rPr>
        <w:t xml:space="preserve"> </w:t>
      </w:r>
      <w:r w:rsidRPr="001B3426">
        <w:rPr>
          <w:rFonts w:ascii="Times New Roman" w:hAnsi="Times New Roman" w:cs="Times New Roman"/>
          <w:szCs w:val="24"/>
        </w:rPr>
        <w:t>– współczynnik zmiany kosztów nadzoru, którego wartość ustalana jest zgodnie z ust. 3</w:t>
      </w:r>
    </w:p>
    <w:p w:rsidR="001B3426" w:rsidRPr="001B3426" w:rsidRDefault="001B3426" w:rsidP="001B3426">
      <w:pPr>
        <w:numPr>
          <w:ilvl w:val="0"/>
          <w:numId w:val="27"/>
        </w:numPr>
        <w:spacing w:after="0" w:line="240" w:lineRule="auto"/>
        <w:jc w:val="both"/>
        <w:rPr>
          <w:rFonts w:ascii="Times New Roman" w:hAnsi="Times New Roman" w:cs="Times New Roman"/>
          <w:szCs w:val="24"/>
        </w:rPr>
      </w:pPr>
    </w:p>
    <w:p w:rsidR="001B3426" w:rsidRPr="001B3426" w:rsidRDefault="001B3426" w:rsidP="001B3426">
      <w:pPr>
        <w:spacing w:after="0" w:line="240" w:lineRule="auto"/>
        <w:ind w:left="1428"/>
        <w:jc w:val="both"/>
        <w:rPr>
          <w:rFonts w:ascii="Times New Roman" w:hAnsi="Times New Roman" w:cs="Times New Roman"/>
          <w:szCs w:val="24"/>
        </w:rPr>
      </w:pPr>
      <w:proofErr w:type="spellStart"/>
      <w:r w:rsidRPr="001B3426">
        <w:rPr>
          <w:rFonts w:ascii="Times New Roman" w:eastAsia="Times New Roman" w:hAnsi="Times New Roman" w:cs="Times New Roman"/>
          <w:b/>
          <w:i/>
          <w:szCs w:val="24"/>
          <w:lang w:eastAsia="pl-PL"/>
        </w:rPr>
        <w:t>wk</w:t>
      </w:r>
      <w:r w:rsidRPr="001B3426">
        <w:rPr>
          <w:rFonts w:ascii="Times New Roman" w:eastAsia="Times New Roman" w:hAnsi="Times New Roman" w:cs="Times New Roman"/>
          <w:b/>
          <w:i/>
          <w:sz w:val="20"/>
          <w:szCs w:val="24"/>
          <w:vertAlign w:val="subscript"/>
          <w:lang w:eastAsia="pl-PL"/>
        </w:rPr>
        <w:t>Gn</w:t>
      </w:r>
      <w:proofErr w:type="spellEnd"/>
      <w:r w:rsidRPr="001B3426">
        <w:rPr>
          <w:rFonts w:ascii="Times New Roman" w:hAnsi="Times New Roman" w:cs="Times New Roman"/>
          <w:b/>
          <w:szCs w:val="24"/>
        </w:rPr>
        <w:t xml:space="preserve"> – </w:t>
      </w:r>
      <w:r w:rsidRPr="001B3426">
        <w:rPr>
          <w:rFonts w:ascii="Times New Roman" w:hAnsi="Times New Roman" w:cs="Times New Roman"/>
          <w:szCs w:val="24"/>
        </w:rPr>
        <w:t>współczynnik korygujący dla grupy, do której przypisany jest dany podmiot zgodnie z § 2</w:t>
      </w:r>
      <w:r w:rsidR="006531F4">
        <w:rPr>
          <w:rFonts w:ascii="Times New Roman" w:hAnsi="Times New Roman" w:cs="Times New Roman"/>
          <w:szCs w:val="24"/>
        </w:rPr>
        <w:t>3</w:t>
      </w:r>
      <w:r w:rsidRPr="001B3426">
        <w:rPr>
          <w:rFonts w:ascii="Times New Roman" w:hAnsi="Times New Roman" w:cs="Times New Roman"/>
          <w:szCs w:val="24"/>
        </w:rPr>
        <w:t>, którego wartość ustalana jest zgodnie z ust. 3.</w:t>
      </w:r>
    </w:p>
    <w:p w:rsidR="001B3426" w:rsidRPr="001B3426" w:rsidRDefault="001B3426" w:rsidP="001B3426">
      <w:pPr>
        <w:numPr>
          <w:ilvl w:val="0"/>
          <w:numId w:val="27"/>
        </w:numPr>
        <w:spacing w:after="0" w:line="240" w:lineRule="auto"/>
        <w:jc w:val="both"/>
        <w:rPr>
          <w:rFonts w:ascii="Times New Roman" w:hAnsi="Times New Roman" w:cs="Times New Roman"/>
          <w:sz w:val="24"/>
          <w:szCs w:val="24"/>
        </w:rPr>
      </w:pPr>
    </w:p>
    <w:p w:rsidR="001B3426" w:rsidRPr="001B3426" w:rsidRDefault="001B3426" w:rsidP="001B3426">
      <w:pPr>
        <w:numPr>
          <w:ilvl w:val="0"/>
          <w:numId w:val="27"/>
        </w:numPr>
        <w:spacing w:after="0" w:line="240" w:lineRule="auto"/>
        <w:jc w:val="both"/>
        <w:rPr>
          <w:rFonts w:ascii="Times New Roman" w:hAnsi="Times New Roman" w:cs="Times New Roman"/>
          <w:sz w:val="24"/>
          <w:szCs w:val="24"/>
        </w:rPr>
      </w:pPr>
    </w:p>
    <w:p w:rsidR="001B3426" w:rsidRPr="001B3426" w:rsidRDefault="001B3426" w:rsidP="001B3426">
      <w:pPr>
        <w:spacing w:after="0" w:line="240" w:lineRule="auto"/>
        <w:ind w:firstLine="708"/>
        <w:jc w:val="both"/>
        <w:rPr>
          <w:rFonts w:ascii="Times New Roman" w:hAnsi="Times New Roman" w:cs="Times New Roman"/>
          <w:sz w:val="24"/>
          <w:szCs w:val="24"/>
        </w:rPr>
      </w:pPr>
      <w:r w:rsidRPr="001B3426">
        <w:rPr>
          <w:rFonts w:ascii="Times New Roman" w:hAnsi="Times New Roman" w:cs="Times New Roman"/>
          <w:sz w:val="24"/>
          <w:szCs w:val="24"/>
        </w:rPr>
        <w:lastRenderedPageBreak/>
        <w:t>2. Stawkę  (</w:t>
      </w:r>
      <w:proofErr w:type="spellStart"/>
      <w:r w:rsidRPr="001B3426">
        <w:rPr>
          <w:rFonts w:ascii="Times New Roman" w:hAnsi="Times New Roman" w:cs="Times New Roman"/>
          <w:b/>
          <w:i/>
          <w:sz w:val="24"/>
          <w:szCs w:val="24"/>
        </w:rPr>
        <w:t>s</w:t>
      </w:r>
      <w:r w:rsidRPr="001B3426">
        <w:rPr>
          <w:rFonts w:ascii="Times New Roman" w:eastAsia="Times New Roman" w:hAnsi="Times New Roman" w:cs="Times New Roman"/>
          <w:b/>
          <w:i/>
          <w:szCs w:val="24"/>
          <w:vertAlign w:val="subscript"/>
          <w:lang w:eastAsia="pl-PL"/>
        </w:rPr>
        <w:t>Gn</w:t>
      </w:r>
      <w:proofErr w:type="spellEnd"/>
      <w:r w:rsidRPr="001B3426">
        <w:rPr>
          <w:rFonts w:ascii="Times New Roman" w:hAnsi="Times New Roman" w:cs="Times New Roman"/>
          <w:sz w:val="24"/>
          <w:szCs w:val="24"/>
        </w:rPr>
        <w:t>) dla danej grupy w danym roku kalendarzowym oblicza się według wzoru:</w:t>
      </w:r>
    </w:p>
    <w:p w:rsidR="001B3426" w:rsidRPr="001B3426" w:rsidRDefault="001B3426" w:rsidP="001B3426">
      <w:pPr>
        <w:spacing w:after="0" w:line="240" w:lineRule="auto"/>
        <w:ind w:firstLine="708"/>
        <w:jc w:val="both"/>
        <w:rPr>
          <w:rFonts w:ascii="Times New Roman" w:hAnsi="Times New Roman" w:cs="Times New Roman"/>
          <w:sz w:val="24"/>
          <w:szCs w:val="24"/>
        </w:rPr>
      </w:pPr>
    </w:p>
    <w:p w:rsidR="001B3426" w:rsidRPr="001B3426" w:rsidRDefault="00FF13AD" w:rsidP="001B3426">
      <w:pPr>
        <w:spacing w:before="120" w:after="120" w:line="240" w:lineRule="auto"/>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Gn</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Kn</m:t>
                  </m:r>
                </m:e>
                <m:sup>
                  <m:r>
                    <m:rPr>
                      <m:sty m:val="bi"/>
                    </m:rPr>
                    <w:rPr>
                      <w:rFonts w:ascii="Cambria Math" w:hAnsi="Cambria Math" w:cs="Times New Roman"/>
                      <w:sz w:val="24"/>
                      <w:szCs w:val="24"/>
                    </w:rPr>
                    <m:t>t-1</m:t>
                  </m:r>
                </m:sup>
              </m:s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wu</m:t>
                  </m:r>
                </m:e>
                <m:sub>
                  <m:r>
                    <m:rPr>
                      <m:sty m:val="bi"/>
                    </m:rPr>
                    <w:rPr>
                      <w:rFonts w:ascii="Cambria Math" w:hAnsi="Cambria Math" w:cs="Times New Roman"/>
                      <w:sz w:val="24"/>
                      <w:szCs w:val="24"/>
                    </w:rPr>
                    <m:t>Gn</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P</m:t>
                  </m:r>
                </m:e>
                <m:sub>
                  <m:r>
                    <m:rPr>
                      <m:sty m:val="bi"/>
                    </m:rPr>
                    <w:rPr>
                      <w:rFonts w:ascii="Cambria Math" w:hAnsi="Cambria Math" w:cs="Times New Roman"/>
                      <w:sz w:val="24"/>
                      <w:szCs w:val="24"/>
                    </w:rPr>
                    <m:t>Gn</m:t>
                  </m:r>
                </m:sub>
                <m:sup>
                  <m:r>
                    <m:rPr>
                      <m:sty m:val="bi"/>
                    </m:rPr>
                    <w:rPr>
                      <w:rFonts w:ascii="Cambria Math" w:hAnsi="Cambria Math" w:cs="Times New Roman"/>
                      <w:sz w:val="24"/>
                      <w:szCs w:val="24"/>
                    </w:rPr>
                    <m:t>t-1</m:t>
                  </m:r>
                </m:sup>
              </m:sSubSup>
            </m:den>
          </m:f>
        </m:oMath>
      </m:oMathPara>
    </w:p>
    <w:p w:rsidR="001B3426" w:rsidRPr="001B3426" w:rsidRDefault="001B3426" w:rsidP="001B3426">
      <w:pPr>
        <w:spacing w:after="0" w:line="240" w:lineRule="auto"/>
        <w:ind w:firstLine="708"/>
        <w:jc w:val="both"/>
        <w:rPr>
          <w:rFonts w:ascii="Times New Roman" w:eastAsiaTheme="minorEastAsia" w:hAnsi="Times New Roman" w:cs="Times New Roman"/>
          <w:szCs w:val="24"/>
        </w:rPr>
      </w:pPr>
      <w:r w:rsidRPr="001B3426">
        <w:rPr>
          <w:rFonts w:ascii="Times New Roman" w:hAnsi="Times New Roman" w:cs="Times New Roman"/>
          <w:szCs w:val="24"/>
        </w:rPr>
        <w:t>gdzie:</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p>
          <m:sSupPr>
            <m:ctrlPr>
              <w:rPr>
                <w:rFonts w:ascii="Cambria Math" w:hAnsi="Cambria Math" w:cs="Times New Roman"/>
                <w:b/>
                <w:i/>
                <w:szCs w:val="24"/>
              </w:rPr>
            </m:ctrlPr>
          </m:sSupPr>
          <m:e>
            <m:r>
              <m:rPr>
                <m:sty m:val="bi"/>
              </m:rPr>
              <w:rPr>
                <w:rFonts w:ascii="Cambria Math" w:hAnsi="Cambria Math" w:cs="Times New Roman"/>
                <w:szCs w:val="24"/>
              </w:rPr>
              <m:t>Kn</m:t>
            </m:r>
          </m:e>
          <m:sup>
            <m:r>
              <m:rPr>
                <m:sty m:val="bi"/>
              </m:rPr>
              <w:rPr>
                <w:rFonts w:ascii="Cambria Math" w:hAnsi="Cambria Math" w:cs="Times New Roman"/>
                <w:szCs w:val="24"/>
              </w:rPr>
              <m:t>t-1</m:t>
            </m:r>
          </m:sup>
        </m:sSup>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w:t>
      </w:r>
      <w:r w:rsidR="001B3426" w:rsidRPr="001B3426">
        <w:rPr>
          <w:rFonts w:ascii="Times New Roman" w:hAnsi="Times New Roman"/>
          <w:szCs w:val="24"/>
        </w:rPr>
        <w:t xml:space="preserve"> koszty nadzoru netto w poprzednim roku kalendarzowym</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b>
          <m:sSubPr>
            <m:ctrlPr>
              <w:rPr>
                <w:rFonts w:ascii="Cambria Math" w:hAnsi="Cambria Math" w:cs="Times New Roman"/>
                <w:b/>
                <w:i/>
                <w:szCs w:val="24"/>
              </w:rPr>
            </m:ctrlPr>
          </m:sSubPr>
          <m:e>
            <m:r>
              <m:rPr>
                <m:sty m:val="bi"/>
              </m:rPr>
              <w:rPr>
                <w:rFonts w:ascii="Cambria Math" w:hAnsi="Cambria Math" w:cs="Times New Roman"/>
                <w:szCs w:val="24"/>
              </w:rPr>
              <m:t>wu</m:t>
            </m:r>
          </m:e>
          <m:sub>
            <m:r>
              <m:rPr>
                <m:sty m:val="bi"/>
              </m:rPr>
              <w:rPr>
                <w:rFonts w:ascii="Cambria Math" w:hAnsi="Cambria Math" w:cs="Times New Roman"/>
                <w:szCs w:val="24"/>
              </w:rPr>
              <m:t>Gn</m:t>
            </m:r>
          </m:sub>
        </m:sSub>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 współczynnik udziału danej grupy w kosztach nadzoru netto określony w § 2</w:t>
      </w:r>
      <w:r w:rsidR="006531F4">
        <w:rPr>
          <w:rFonts w:ascii="Times New Roman" w:eastAsiaTheme="minorEastAsia" w:hAnsi="Times New Roman" w:cs="Times New Roman"/>
          <w:szCs w:val="24"/>
        </w:rPr>
        <w:t>3</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bSup>
          <m:sSubSupPr>
            <m:ctrlPr>
              <w:rPr>
                <w:rFonts w:ascii="Cambria Math" w:hAnsi="Cambria Math" w:cs="Times New Roman"/>
                <w:b/>
                <w:i/>
                <w:szCs w:val="24"/>
              </w:rPr>
            </m:ctrlPr>
          </m:sSubSupPr>
          <m:e>
            <m:r>
              <m:rPr>
                <m:sty m:val="bi"/>
              </m:rPr>
              <w:rPr>
                <w:rFonts w:ascii="Cambria Math" w:hAnsi="Cambria Math" w:cs="Times New Roman"/>
                <w:szCs w:val="24"/>
              </w:rPr>
              <m:t>P</m:t>
            </m:r>
          </m:e>
          <m:sub>
            <m:r>
              <m:rPr>
                <m:sty m:val="bi"/>
              </m:rPr>
              <w:rPr>
                <w:rFonts w:ascii="Cambria Math" w:hAnsi="Cambria Math" w:cs="Times New Roman"/>
                <w:szCs w:val="24"/>
              </w:rPr>
              <m:t>Gn</m:t>
            </m:r>
          </m:sub>
          <m:sup>
            <m:r>
              <m:rPr>
                <m:sty m:val="bi"/>
              </m:rPr>
              <w:rPr>
                <w:rFonts w:ascii="Cambria Math" w:hAnsi="Cambria Math" w:cs="Times New Roman"/>
                <w:szCs w:val="24"/>
              </w:rPr>
              <m:t>t-1</m:t>
            </m:r>
          </m:sup>
        </m:sSubSup>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 sumę kwot stanowiących podstawę</w:t>
      </w:r>
      <w:r w:rsidR="001B3426" w:rsidRPr="001B3426">
        <w:rPr>
          <w:sz w:val="20"/>
        </w:rPr>
        <w:t xml:space="preserve"> </w:t>
      </w:r>
      <w:r w:rsidR="001B3426" w:rsidRPr="001B3426">
        <w:rPr>
          <w:rFonts w:ascii="Times New Roman" w:eastAsiaTheme="minorEastAsia" w:hAnsi="Times New Roman" w:cs="Times New Roman"/>
          <w:szCs w:val="24"/>
        </w:rPr>
        <w:t>obliczenia opłaty należnej od podmiotów w danej grupie w poprzednim roku kalendarzowym.</w:t>
      </w:r>
    </w:p>
    <w:p w:rsidR="001B3426" w:rsidRPr="001B3426" w:rsidRDefault="001B3426" w:rsidP="001B3426">
      <w:pPr>
        <w:spacing w:before="120" w:after="0" w:line="240" w:lineRule="auto"/>
        <w:jc w:val="both"/>
        <w:rPr>
          <w:rFonts w:ascii="Times New Roman" w:hAnsi="Times New Roman" w:cs="Times New Roman"/>
          <w:b/>
          <w:i/>
          <w:sz w:val="24"/>
          <w:szCs w:val="24"/>
        </w:rPr>
      </w:pPr>
    </w:p>
    <w:p w:rsidR="001B3426" w:rsidRPr="001B3426" w:rsidRDefault="001B3426" w:rsidP="001B3426">
      <w:pPr>
        <w:spacing w:after="0" w:line="240" w:lineRule="auto"/>
        <w:ind w:firstLine="708"/>
        <w:jc w:val="both"/>
        <w:rPr>
          <w:rFonts w:ascii="Times New Roman" w:hAnsi="Times New Roman" w:cs="Times New Roman"/>
          <w:sz w:val="24"/>
          <w:szCs w:val="24"/>
        </w:rPr>
      </w:pPr>
    </w:p>
    <w:p w:rsidR="001B3426" w:rsidRPr="001B3426" w:rsidRDefault="001B3426" w:rsidP="001B3426">
      <w:pPr>
        <w:spacing w:after="0" w:line="240" w:lineRule="auto"/>
        <w:jc w:val="both"/>
        <w:rPr>
          <w:rFonts w:ascii="Times New Roman" w:hAnsi="Times New Roman" w:cs="Times New Roman"/>
          <w:sz w:val="24"/>
          <w:szCs w:val="24"/>
        </w:rPr>
      </w:pPr>
    </w:p>
    <w:p w:rsidR="001B3426" w:rsidRPr="001B3426" w:rsidRDefault="001B3426" w:rsidP="001B3426">
      <w:pPr>
        <w:spacing w:after="0" w:line="240" w:lineRule="auto"/>
        <w:ind w:firstLine="708"/>
        <w:jc w:val="both"/>
        <w:rPr>
          <w:rFonts w:ascii="Times New Roman" w:hAnsi="Times New Roman" w:cs="Times New Roman"/>
          <w:sz w:val="24"/>
          <w:szCs w:val="24"/>
        </w:rPr>
      </w:pPr>
      <w:r w:rsidRPr="001B3426">
        <w:rPr>
          <w:rFonts w:ascii="Times New Roman" w:hAnsi="Times New Roman" w:cs="Times New Roman"/>
          <w:sz w:val="24"/>
          <w:szCs w:val="24"/>
        </w:rPr>
        <w:t>3. Współczynnik zmiany kosztów nadzoru (</w:t>
      </w:r>
      <w:proofErr w:type="spellStart"/>
      <w:r w:rsidRPr="001B3426">
        <w:rPr>
          <w:rFonts w:ascii="Times New Roman" w:hAnsi="Times New Roman" w:cs="Times New Roman"/>
          <w:b/>
          <w:i/>
          <w:sz w:val="24"/>
          <w:szCs w:val="24"/>
        </w:rPr>
        <w:t>wz</w:t>
      </w:r>
      <w:proofErr w:type="spellEnd"/>
      <w:r w:rsidRPr="001B3426">
        <w:rPr>
          <w:rFonts w:ascii="Times New Roman" w:hAnsi="Times New Roman" w:cs="Times New Roman"/>
          <w:sz w:val="24"/>
          <w:szCs w:val="24"/>
        </w:rPr>
        <w:t xml:space="preserve">) w danym roku stanowi iloraz kosztów nadzoru netto w roku poprzednim i kosztów nadzoru netto w roku o dwa lata poprzedzającym rok, za który należna jest opłata. </w:t>
      </w:r>
    </w:p>
    <w:p w:rsidR="001B3426" w:rsidRPr="001B3426" w:rsidRDefault="001B3426" w:rsidP="001B3426">
      <w:pPr>
        <w:spacing w:after="0" w:line="240" w:lineRule="auto"/>
        <w:jc w:val="both"/>
        <w:rPr>
          <w:rFonts w:ascii="Times New Roman" w:hAnsi="Times New Roman" w:cs="Times New Roman"/>
          <w:sz w:val="24"/>
          <w:szCs w:val="24"/>
        </w:rPr>
      </w:pPr>
    </w:p>
    <w:p w:rsidR="001B3426" w:rsidRPr="001B3426" w:rsidRDefault="001B3426" w:rsidP="001B3426">
      <w:pPr>
        <w:spacing w:after="0" w:line="240" w:lineRule="auto"/>
        <w:ind w:firstLine="708"/>
        <w:jc w:val="both"/>
        <w:rPr>
          <w:rFonts w:ascii="Times New Roman" w:hAnsi="Times New Roman" w:cs="Times New Roman"/>
          <w:sz w:val="24"/>
          <w:szCs w:val="24"/>
        </w:rPr>
      </w:pPr>
      <w:r w:rsidRPr="001B3426">
        <w:rPr>
          <w:rFonts w:ascii="Times New Roman" w:hAnsi="Times New Roman" w:cs="Times New Roman"/>
          <w:sz w:val="24"/>
          <w:szCs w:val="24"/>
        </w:rPr>
        <w:t>4. Współczynnik korygujący (</w:t>
      </w:r>
      <w:proofErr w:type="spellStart"/>
      <w:r w:rsidRPr="001B3426">
        <w:rPr>
          <w:rFonts w:ascii="Times New Roman" w:hAnsi="Times New Roman" w:cs="Times New Roman"/>
          <w:b/>
          <w:i/>
          <w:sz w:val="24"/>
          <w:szCs w:val="24"/>
        </w:rPr>
        <w:t>wk</w:t>
      </w:r>
      <w:r w:rsidRPr="001B3426">
        <w:rPr>
          <w:rFonts w:ascii="Times New Roman" w:eastAsia="Times New Roman" w:hAnsi="Times New Roman" w:cs="Times New Roman"/>
          <w:b/>
          <w:i/>
          <w:szCs w:val="24"/>
          <w:vertAlign w:val="subscript"/>
          <w:lang w:eastAsia="pl-PL"/>
        </w:rPr>
        <w:t>Gn</w:t>
      </w:r>
      <w:proofErr w:type="spellEnd"/>
      <w:r w:rsidRPr="001B3426">
        <w:rPr>
          <w:rFonts w:ascii="Times New Roman" w:hAnsi="Times New Roman" w:cs="Times New Roman"/>
          <w:sz w:val="24"/>
          <w:szCs w:val="24"/>
        </w:rPr>
        <w:t>) dla danej grupy w danym roku kalendarzowym oblicza się według wzoru:</w:t>
      </w:r>
    </w:p>
    <w:p w:rsidR="001B3426" w:rsidRPr="001B3426" w:rsidRDefault="001B3426" w:rsidP="001B3426">
      <w:pPr>
        <w:spacing w:after="0" w:line="240" w:lineRule="auto"/>
        <w:ind w:firstLine="708"/>
        <w:jc w:val="both"/>
        <w:rPr>
          <w:rFonts w:ascii="Times New Roman" w:hAnsi="Times New Roman" w:cs="Times New Roman"/>
          <w:sz w:val="24"/>
          <w:szCs w:val="24"/>
        </w:rPr>
      </w:pPr>
    </w:p>
    <w:p w:rsidR="001B3426" w:rsidRPr="001B3426" w:rsidRDefault="001B3426" w:rsidP="001B3426">
      <w:pPr>
        <w:spacing w:before="120" w:after="120" w:line="240" w:lineRule="auto"/>
        <w:ind w:firstLine="709"/>
        <w:jc w:val="both"/>
        <w:rPr>
          <w:rFonts w:ascii="Times New Roman" w:hAnsi="Times New Roman" w:cs="Times New Roman"/>
          <w:sz w:val="24"/>
          <w:szCs w:val="24"/>
        </w:rPr>
      </w:pPr>
      <w:r w:rsidRPr="001B3426">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wk</m:t>
              </m:r>
            </m:e>
            <m:sub>
              <m:r>
                <m:rPr>
                  <m:sty m:val="bi"/>
                </m:rPr>
                <w:rPr>
                  <w:rFonts w:ascii="Cambria Math" w:hAnsi="Cambria Math" w:cs="Times New Roman"/>
                  <w:sz w:val="24"/>
                  <w:szCs w:val="24"/>
                </w:rPr>
                <m:t>Gn</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d>
                <m:dPr>
                  <m:ctrlPr>
                    <w:rPr>
                      <w:rFonts w:ascii="Cambria Math" w:hAnsi="Cambria Math" w:cs="Times New Roman"/>
                      <w:b/>
                      <w:i/>
                      <w:sz w:val="24"/>
                      <w:szCs w:val="24"/>
                    </w:rPr>
                  </m:ctrlPr>
                </m:dPr>
                <m:e>
                  <m:sSup>
                    <m:sSupPr>
                      <m:ctrlPr>
                        <w:rPr>
                          <w:rFonts w:ascii="Cambria Math" w:hAnsi="Cambria Math" w:cs="Times New Roman"/>
                          <w:b/>
                          <w:i/>
                          <w:sz w:val="24"/>
                          <w:szCs w:val="24"/>
                        </w:rPr>
                      </m:ctrlPr>
                    </m:sSupPr>
                    <m:e>
                      <m:r>
                        <m:rPr>
                          <m:sty m:val="bi"/>
                        </m:rPr>
                        <w:rPr>
                          <w:rFonts w:ascii="Cambria Math" w:hAnsi="Cambria Math" w:cs="Times New Roman"/>
                          <w:sz w:val="24"/>
                          <w:szCs w:val="24"/>
                        </w:rPr>
                        <m:t>Kn</m:t>
                      </m:r>
                    </m:e>
                    <m:sup>
                      <m:r>
                        <m:rPr>
                          <m:sty m:val="bi"/>
                        </m:rPr>
                        <w:rPr>
                          <w:rFonts w:ascii="Cambria Math" w:hAnsi="Cambria Math" w:cs="Times New Roman"/>
                          <w:sz w:val="24"/>
                          <w:szCs w:val="24"/>
                        </w:rPr>
                        <m:t>t-1</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WN</m:t>
                      </m:r>
                    </m:e>
                    <m:sup>
                      <m:r>
                        <m:rPr>
                          <m:sty m:val="bi"/>
                        </m:rPr>
                        <w:rPr>
                          <w:rFonts w:ascii="Cambria Math" w:hAnsi="Cambria Math" w:cs="Times New Roman"/>
                          <w:sz w:val="24"/>
                          <w:szCs w:val="24"/>
                        </w:rPr>
                        <m:t>t-1</m:t>
                      </m:r>
                    </m:sup>
                  </m:sSup>
                </m:e>
              </m:d>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wu</m:t>
                  </m:r>
                </m:e>
                <m:sub>
                  <m:r>
                    <m:rPr>
                      <m:sty m:val="bi"/>
                    </m:rPr>
                    <w:rPr>
                      <w:rFonts w:ascii="Cambria Math" w:hAnsi="Cambria Math" w:cs="Times New Roman"/>
                      <w:sz w:val="24"/>
                      <w:szCs w:val="24"/>
                    </w:rPr>
                    <m:t>Gn</m:t>
                  </m:r>
                </m:sub>
              </m:sSub>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P</m:t>
                  </m:r>
                </m:e>
                <m:sub>
                  <m:r>
                    <m:rPr>
                      <m:sty m:val="bi"/>
                    </m:rPr>
                    <w:rPr>
                      <w:rFonts w:ascii="Cambria Math" w:hAnsi="Cambria Math" w:cs="Times New Roman"/>
                      <w:sz w:val="24"/>
                      <w:szCs w:val="24"/>
                    </w:rPr>
                    <m:t>Gn</m:t>
                  </m:r>
                </m:sub>
                <m:sup>
                  <m:r>
                    <m:rPr>
                      <m:sty m:val="bi"/>
                    </m:rPr>
                    <w:rPr>
                      <w:rFonts w:ascii="Cambria Math" w:hAnsi="Cambria Math" w:cs="Times New Roman"/>
                      <w:sz w:val="24"/>
                      <w:szCs w:val="24"/>
                    </w:rPr>
                    <m:t>t-1</m:t>
                  </m:r>
                </m:sup>
              </m:sSubSup>
              <m:r>
                <m:rPr>
                  <m:sty m:val="bi"/>
                </m:rPr>
                <w:rPr>
                  <w:rFonts w:ascii="Cambria Math" w:hAnsi="Cambria Math" w:cs="Times New Roman"/>
                  <w:sz w:val="24"/>
                  <w:szCs w:val="24"/>
                </w:rPr>
                <m:t xml:space="preserve"> </m:t>
              </m:r>
            </m:den>
          </m:f>
        </m:oMath>
      </m:oMathPara>
    </w:p>
    <w:p w:rsidR="001B3426" w:rsidRPr="001B3426" w:rsidRDefault="001B3426" w:rsidP="001B3426">
      <w:pPr>
        <w:spacing w:after="0" w:line="240" w:lineRule="auto"/>
        <w:ind w:firstLine="708"/>
        <w:jc w:val="both"/>
        <w:rPr>
          <w:rFonts w:ascii="Times New Roman" w:hAnsi="Times New Roman" w:cs="Times New Roman"/>
          <w:sz w:val="24"/>
          <w:szCs w:val="24"/>
        </w:rPr>
      </w:pPr>
    </w:p>
    <w:p w:rsidR="001B3426" w:rsidRPr="001B3426" w:rsidRDefault="001B3426" w:rsidP="001B3426">
      <w:pPr>
        <w:spacing w:after="0" w:line="240" w:lineRule="auto"/>
        <w:ind w:firstLine="708"/>
        <w:jc w:val="both"/>
        <w:rPr>
          <w:rFonts w:ascii="Times New Roman" w:eastAsiaTheme="minorEastAsia" w:hAnsi="Times New Roman" w:cs="Times New Roman"/>
          <w:szCs w:val="24"/>
        </w:rPr>
      </w:pPr>
      <w:r w:rsidRPr="001B3426">
        <w:rPr>
          <w:rFonts w:ascii="Times New Roman" w:hAnsi="Times New Roman" w:cs="Times New Roman"/>
          <w:szCs w:val="24"/>
        </w:rPr>
        <w:t>gdzie:</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p>
          <m:sSupPr>
            <m:ctrlPr>
              <w:rPr>
                <w:rFonts w:ascii="Cambria Math" w:hAnsi="Cambria Math" w:cs="Times New Roman"/>
                <w:b/>
                <w:i/>
                <w:szCs w:val="24"/>
              </w:rPr>
            </m:ctrlPr>
          </m:sSupPr>
          <m:e>
            <m:r>
              <m:rPr>
                <m:sty m:val="bi"/>
              </m:rPr>
              <w:rPr>
                <w:rFonts w:ascii="Cambria Math" w:hAnsi="Cambria Math" w:cs="Times New Roman"/>
                <w:szCs w:val="24"/>
              </w:rPr>
              <m:t>Kn</m:t>
            </m:r>
          </m:e>
          <m:sup>
            <m:r>
              <m:rPr>
                <m:sty m:val="bi"/>
              </m:rPr>
              <w:rPr>
                <w:rFonts w:ascii="Cambria Math" w:hAnsi="Cambria Math" w:cs="Times New Roman"/>
                <w:szCs w:val="24"/>
              </w:rPr>
              <m:t>t-1</m:t>
            </m:r>
          </m:sup>
        </m:sSup>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w:t>
      </w:r>
      <w:r w:rsidR="001B3426" w:rsidRPr="001B3426">
        <w:rPr>
          <w:rFonts w:ascii="Times New Roman" w:hAnsi="Times New Roman"/>
          <w:szCs w:val="24"/>
        </w:rPr>
        <w:t xml:space="preserve"> koszty nadzoru netto w poprzednim roku kalendarzowym</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p>
          <m:sSupPr>
            <m:ctrlPr>
              <w:rPr>
                <w:rFonts w:ascii="Cambria Math" w:hAnsi="Cambria Math" w:cs="Times New Roman"/>
                <w:b/>
                <w:i/>
                <w:szCs w:val="24"/>
              </w:rPr>
            </m:ctrlPr>
          </m:sSupPr>
          <m:e>
            <m:r>
              <m:rPr>
                <m:sty m:val="bi"/>
              </m:rPr>
              <w:rPr>
                <w:rFonts w:ascii="Cambria Math" w:hAnsi="Cambria Math" w:cs="Times New Roman"/>
                <w:szCs w:val="24"/>
              </w:rPr>
              <m:t>WN</m:t>
            </m:r>
          </m:e>
          <m:sup>
            <m:r>
              <m:rPr>
                <m:sty m:val="bi"/>
              </m:rPr>
              <w:rPr>
                <w:rFonts w:ascii="Cambria Math" w:hAnsi="Cambria Math" w:cs="Times New Roman"/>
                <w:szCs w:val="24"/>
              </w:rPr>
              <m:t>t-1</m:t>
            </m:r>
          </m:sup>
        </m:sSup>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w:t>
      </w:r>
      <w:r w:rsidR="001B3426" w:rsidRPr="001B3426">
        <w:rPr>
          <w:rFonts w:ascii="Times New Roman" w:hAnsi="Times New Roman"/>
          <w:szCs w:val="24"/>
        </w:rPr>
        <w:t xml:space="preserve"> sumę opłat na pokrycie kosztów nadzoru należnych za poprzedni rok kalendarzowy od podmiotów, o których mowa w § 2</w:t>
      </w:r>
      <w:r w:rsidR="006531F4">
        <w:rPr>
          <w:rFonts w:ascii="Times New Roman" w:hAnsi="Times New Roman"/>
          <w:szCs w:val="24"/>
        </w:rPr>
        <w:t>3</w:t>
      </w:r>
      <w:r w:rsidR="001B3426" w:rsidRPr="001B3426">
        <w:rPr>
          <w:rFonts w:ascii="Times New Roman" w:hAnsi="Times New Roman"/>
          <w:szCs w:val="24"/>
        </w:rPr>
        <w:t xml:space="preserve"> z tytułu opłat, o których mowa w ust. 1</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b>
          <m:sSubPr>
            <m:ctrlPr>
              <w:rPr>
                <w:rFonts w:ascii="Cambria Math" w:hAnsi="Cambria Math" w:cs="Times New Roman"/>
                <w:b/>
                <w:i/>
                <w:szCs w:val="24"/>
              </w:rPr>
            </m:ctrlPr>
          </m:sSubPr>
          <m:e>
            <m:r>
              <m:rPr>
                <m:sty m:val="bi"/>
              </m:rPr>
              <w:rPr>
                <w:rFonts w:ascii="Cambria Math" w:hAnsi="Cambria Math" w:cs="Times New Roman"/>
                <w:szCs w:val="24"/>
              </w:rPr>
              <m:t>wu</m:t>
            </m:r>
          </m:e>
          <m:sub>
            <m:r>
              <m:rPr>
                <m:sty m:val="bi"/>
              </m:rPr>
              <w:rPr>
                <w:rFonts w:ascii="Cambria Math" w:hAnsi="Cambria Math" w:cs="Times New Roman"/>
                <w:szCs w:val="24"/>
              </w:rPr>
              <m:t>Gn</m:t>
            </m:r>
          </m:sub>
        </m:sSub>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 współczynnik udziału danej grupy w kosztach nadzoru netto określony w § 2</w:t>
      </w:r>
      <w:r w:rsidR="006531F4">
        <w:rPr>
          <w:rFonts w:ascii="Times New Roman" w:eastAsiaTheme="minorEastAsia" w:hAnsi="Times New Roman" w:cs="Times New Roman"/>
          <w:szCs w:val="24"/>
        </w:rPr>
        <w:t>3</w:t>
      </w:r>
    </w:p>
    <w:p w:rsidR="001B3426" w:rsidRPr="001B3426" w:rsidRDefault="00FF13AD" w:rsidP="001B3426">
      <w:pPr>
        <w:spacing w:after="0" w:line="240" w:lineRule="auto"/>
        <w:ind w:left="2127" w:hanging="851"/>
        <w:jc w:val="both"/>
        <w:rPr>
          <w:rFonts w:ascii="Times New Roman" w:eastAsiaTheme="minorEastAsia" w:hAnsi="Times New Roman" w:cs="Times New Roman"/>
          <w:b/>
          <w:szCs w:val="24"/>
        </w:rPr>
      </w:pPr>
      <m:oMath>
        <m:sSubSup>
          <m:sSubSupPr>
            <m:ctrlPr>
              <w:rPr>
                <w:rFonts w:ascii="Cambria Math" w:hAnsi="Cambria Math" w:cs="Times New Roman"/>
                <w:b/>
                <w:i/>
                <w:szCs w:val="24"/>
              </w:rPr>
            </m:ctrlPr>
          </m:sSubSupPr>
          <m:e>
            <m:r>
              <m:rPr>
                <m:sty m:val="bi"/>
              </m:rPr>
              <w:rPr>
                <w:rFonts w:ascii="Cambria Math" w:hAnsi="Cambria Math" w:cs="Times New Roman"/>
                <w:szCs w:val="24"/>
              </w:rPr>
              <m:t>P</m:t>
            </m:r>
          </m:e>
          <m:sub>
            <m:r>
              <m:rPr>
                <m:sty m:val="bi"/>
              </m:rPr>
              <w:rPr>
                <w:rFonts w:ascii="Cambria Math" w:hAnsi="Cambria Math" w:cs="Times New Roman"/>
                <w:szCs w:val="24"/>
              </w:rPr>
              <m:t>Gn</m:t>
            </m:r>
          </m:sub>
          <m:sup>
            <m:r>
              <m:rPr>
                <m:sty m:val="bi"/>
              </m:rPr>
              <w:rPr>
                <w:rFonts w:ascii="Cambria Math" w:hAnsi="Cambria Math" w:cs="Times New Roman"/>
                <w:szCs w:val="24"/>
              </w:rPr>
              <m:t>t-1</m:t>
            </m:r>
          </m:sup>
        </m:sSubSup>
      </m:oMath>
      <w:r w:rsidR="001B3426" w:rsidRPr="001B3426">
        <w:rPr>
          <w:rFonts w:ascii="Times New Roman" w:eastAsiaTheme="minorEastAsia" w:hAnsi="Times New Roman" w:cs="Times New Roman"/>
          <w:b/>
          <w:szCs w:val="24"/>
        </w:rPr>
        <w:t xml:space="preserve"> – </w:t>
      </w:r>
      <w:r w:rsidR="001B3426" w:rsidRPr="001B3426">
        <w:rPr>
          <w:rFonts w:ascii="Times New Roman" w:eastAsiaTheme="minorEastAsia" w:hAnsi="Times New Roman" w:cs="Times New Roman"/>
          <w:szCs w:val="24"/>
        </w:rPr>
        <w:t>oznacza sumę kwot stanowiących podstawę</w:t>
      </w:r>
      <w:r w:rsidR="001B3426" w:rsidRPr="001B3426">
        <w:rPr>
          <w:sz w:val="20"/>
        </w:rPr>
        <w:t xml:space="preserve"> </w:t>
      </w:r>
      <w:r w:rsidR="001B3426" w:rsidRPr="001B3426">
        <w:rPr>
          <w:rFonts w:ascii="Times New Roman" w:eastAsiaTheme="minorEastAsia" w:hAnsi="Times New Roman" w:cs="Times New Roman"/>
          <w:szCs w:val="24"/>
        </w:rPr>
        <w:t>obliczenia opłaty należnej od podmiotów w danej grupie w poprzednim roku kalendarzowym.</w:t>
      </w:r>
    </w:p>
    <w:p w:rsidR="001B3426" w:rsidRPr="001B3426" w:rsidRDefault="001B3426" w:rsidP="001B3426">
      <w:pPr>
        <w:spacing w:before="120" w:after="0" w:line="240" w:lineRule="auto"/>
        <w:jc w:val="both"/>
        <w:rPr>
          <w:rFonts w:ascii="Times New Roman" w:hAnsi="Times New Roman" w:cs="Times New Roman"/>
          <w:b/>
          <w:i/>
          <w:sz w:val="24"/>
          <w:szCs w:val="24"/>
        </w:rPr>
      </w:pPr>
    </w:p>
    <w:p w:rsidR="001B3426" w:rsidRPr="001B3426" w:rsidRDefault="001B3426" w:rsidP="001B3426">
      <w:pPr>
        <w:spacing w:before="120" w:after="0" w:line="240" w:lineRule="auto"/>
        <w:ind w:firstLine="360"/>
        <w:jc w:val="both"/>
        <w:rPr>
          <w:rFonts w:ascii="Times New Roman" w:eastAsia="Times New Roman" w:hAnsi="Times New Roman" w:cs="Times New Roman"/>
          <w:sz w:val="24"/>
          <w:szCs w:val="24"/>
          <w:lang w:eastAsia="pl-PL"/>
        </w:rPr>
      </w:pPr>
      <w:r w:rsidRPr="001B3426">
        <w:rPr>
          <w:rFonts w:ascii="Times New Roman" w:hAnsi="Times New Roman" w:cs="Times New Roman"/>
          <w:sz w:val="24"/>
          <w:szCs w:val="24"/>
        </w:rPr>
        <w:t xml:space="preserve">5. </w:t>
      </w:r>
      <w:r w:rsidRPr="001B3426">
        <w:rPr>
          <w:rFonts w:ascii="Times New Roman" w:eastAsia="Times New Roman" w:hAnsi="Times New Roman" w:cs="Times New Roman"/>
          <w:sz w:val="24"/>
          <w:szCs w:val="24"/>
          <w:lang w:eastAsia="pl-PL"/>
        </w:rPr>
        <w:t>W przypadku gdy wysokość kwoty należnej od danego podmiotu, obliczona zgodnie ze wzorem, o którym mowa w ust. 1, jest:</w:t>
      </w:r>
    </w:p>
    <w:p w:rsidR="001B3426" w:rsidRPr="001B3426" w:rsidRDefault="001B3426" w:rsidP="001B3426">
      <w:pPr>
        <w:numPr>
          <w:ilvl w:val="0"/>
          <w:numId w:val="33"/>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wyższa niż maksymalna wartość opłaty określona w ustawie, za wartość należnej w danym roku opłaty przyjmuje się maksymalną wartość określoną w ustawie;</w:t>
      </w:r>
    </w:p>
    <w:p w:rsidR="001B3426" w:rsidRPr="001B3426" w:rsidRDefault="001B3426" w:rsidP="001B3426">
      <w:pPr>
        <w:numPr>
          <w:ilvl w:val="0"/>
          <w:numId w:val="33"/>
        </w:numPr>
        <w:spacing w:before="120" w:after="0" w:line="240" w:lineRule="auto"/>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niższa niż minimalna wartość opłaty określona w ustawie, za wartość należnej w danym roku opłaty przyjmuje się minimalną wartość określoną w ustawie.</w:t>
      </w:r>
    </w:p>
    <w:p w:rsidR="001B3426" w:rsidRPr="001B3426" w:rsidRDefault="001B3426" w:rsidP="001B3426">
      <w:pPr>
        <w:spacing w:before="120" w:after="0" w:line="240" w:lineRule="auto"/>
        <w:jc w:val="both"/>
        <w:rPr>
          <w:rFonts w:ascii="Times New Roman" w:eastAsia="Times New Roman" w:hAnsi="Times New Roman" w:cs="Times New Roman"/>
          <w:sz w:val="24"/>
          <w:szCs w:val="24"/>
          <w:lang w:eastAsia="pl-PL"/>
        </w:rPr>
      </w:pPr>
    </w:p>
    <w:p w:rsidR="001B3426" w:rsidRPr="001B3426" w:rsidRDefault="001B3426" w:rsidP="001B3426">
      <w:pPr>
        <w:spacing w:before="120" w:after="0" w:line="240" w:lineRule="auto"/>
        <w:ind w:firstLine="708"/>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25</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Do dnia 31 sierpnia danego roku kalendarzowego, Przewodniczący Komisji Nadzoru Finansowego podaje do publicznej wiadomości, w drodze komunikatu ogłaszanego w Dzienniku Urzędowym Komisji Nadzoru Finansowego:</w:t>
      </w:r>
    </w:p>
    <w:p w:rsidR="001B3426" w:rsidRPr="001B3426" w:rsidRDefault="001B3426" w:rsidP="001B3426">
      <w:pPr>
        <w:spacing w:before="120" w:after="0" w:line="240" w:lineRule="auto"/>
        <w:ind w:firstLine="708"/>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1) wysokość staw</w:t>
      </w:r>
      <w:r w:rsidR="006531F4">
        <w:rPr>
          <w:rFonts w:ascii="Times New Roman" w:eastAsia="Times New Roman" w:hAnsi="Times New Roman" w:cs="Times New Roman"/>
          <w:sz w:val="24"/>
          <w:szCs w:val="24"/>
          <w:lang w:eastAsia="pl-PL"/>
        </w:rPr>
        <w:t>ek</w:t>
      </w:r>
      <w:r w:rsidRPr="001B3426">
        <w:rPr>
          <w:rFonts w:ascii="Times New Roman" w:eastAsia="Times New Roman" w:hAnsi="Times New Roman" w:cs="Times New Roman"/>
          <w:sz w:val="24"/>
          <w:szCs w:val="24"/>
          <w:lang w:eastAsia="pl-PL"/>
        </w:rPr>
        <w:t>, o któr</w:t>
      </w:r>
      <w:r w:rsidR="006531F4">
        <w:rPr>
          <w:rFonts w:ascii="Times New Roman" w:eastAsia="Times New Roman" w:hAnsi="Times New Roman" w:cs="Times New Roman"/>
          <w:sz w:val="24"/>
          <w:szCs w:val="24"/>
          <w:lang w:eastAsia="pl-PL"/>
        </w:rPr>
        <w:t>ych</w:t>
      </w:r>
      <w:r w:rsidRPr="001B3426">
        <w:rPr>
          <w:rFonts w:ascii="Times New Roman" w:eastAsia="Times New Roman" w:hAnsi="Times New Roman" w:cs="Times New Roman"/>
          <w:sz w:val="24"/>
          <w:szCs w:val="24"/>
          <w:lang w:eastAsia="pl-PL"/>
        </w:rPr>
        <w:t xml:space="preserve"> mowa w § </w:t>
      </w:r>
      <w:r w:rsidR="006531F4">
        <w:rPr>
          <w:rFonts w:ascii="Times New Roman" w:eastAsia="Times New Roman" w:hAnsi="Times New Roman" w:cs="Times New Roman"/>
          <w:sz w:val="24"/>
          <w:szCs w:val="24"/>
          <w:lang w:eastAsia="pl-PL"/>
        </w:rPr>
        <w:t>22</w:t>
      </w:r>
      <w:r w:rsidRPr="001B3426">
        <w:rPr>
          <w:rFonts w:ascii="Times New Roman" w:eastAsia="Times New Roman" w:hAnsi="Times New Roman" w:cs="Times New Roman"/>
          <w:sz w:val="24"/>
          <w:szCs w:val="24"/>
          <w:lang w:eastAsia="pl-PL"/>
        </w:rPr>
        <w:t xml:space="preserve"> ust. 1 pkt </w:t>
      </w:r>
      <w:r w:rsidR="00FB63AE">
        <w:rPr>
          <w:rFonts w:ascii="Times New Roman" w:eastAsia="Times New Roman" w:hAnsi="Times New Roman" w:cs="Times New Roman"/>
          <w:sz w:val="24"/>
          <w:szCs w:val="24"/>
          <w:lang w:eastAsia="pl-PL"/>
        </w:rPr>
        <w:t>4</w:t>
      </w:r>
      <w:r w:rsidR="006531F4">
        <w:rPr>
          <w:rFonts w:ascii="Times New Roman" w:eastAsia="Times New Roman" w:hAnsi="Times New Roman" w:cs="Times New Roman"/>
          <w:sz w:val="24"/>
          <w:szCs w:val="24"/>
          <w:lang w:eastAsia="pl-PL"/>
        </w:rPr>
        <w:t>,</w:t>
      </w:r>
      <w:r w:rsidR="00FB63AE">
        <w:rPr>
          <w:rFonts w:ascii="Times New Roman" w:eastAsia="Times New Roman" w:hAnsi="Times New Roman" w:cs="Times New Roman"/>
          <w:sz w:val="24"/>
          <w:szCs w:val="24"/>
          <w:lang w:eastAsia="pl-PL"/>
        </w:rPr>
        <w:t xml:space="preserve"> dla każdej z grup</w:t>
      </w:r>
      <w:r w:rsidRPr="001B3426">
        <w:rPr>
          <w:rFonts w:ascii="Times New Roman" w:eastAsia="Times New Roman" w:hAnsi="Times New Roman" w:cs="Times New Roman"/>
          <w:sz w:val="24"/>
          <w:szCs w:val="24"/>
          <w:lang w:eastAsia="pl-PL"/>
        </w:rPr>
        <w:t>;</w:t>
      </w:r>
    </w:p>
    <w:p w:rsidR="00FB63AE" w:rsidRDefault="001B3426" w:rsidP="001B3426">
      <w:pPr>
        <w:spacing w:before="120" w:after="0" w:line="240" w:lineRule="auto"/>
        <w:ind w:firstLine="708"/>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lastRenderedPageBreak/>
        <w:t>2) wartość współczynnik</w:t>
      </w:r>
      <w:r w:rsidR="00FB63AE">
        <w:rPr>
          <w:rFonts w:ascii="Times New Roman" w:eastAsia="Times New Roman" w:hAnsi="Times New Roman" w:cs="Times New Roman"/>
          <w:sz w:val="24"/>
          <w:szCs w:val="24"/>
          <w:lang w:eastAsia="pl-PL"/>
        </w:rPr>
        <w:t>a</w:t>
      </w:r>
      <w:r w:rsidRPr="001B3426">
        <w:rPr>
          <w:rFonts w:ascii="Times New Roman" w:eastAsia="Times New Roman" w:hAnsi="Times New Roman" w:cs="Times New Roman"/>
          <w:sz w:val="24"/>
          <w:szCs w:val="24"/>
          <w:lang w:eastAsia="pl-PL"/>
        </w:rPr>
        <w:t>, o który</w:t>
      </w:r>
      <w:r w:rsidR="00FB63AE">
        <w:rPr>
          <w:rFonts w:ascii="Times New Roman" w:eastAsia="Times New Roman" w:hAnsi="Times New Roman" w:cs="Times New Roman"/>
          <w:sz w:val="24"/>
          <w:szCs w:val="24"/>
          <w:lang w:eastAsia="pl-PL"/>
        </w:rPr>
        <w:t>m</w:t>
      </w:r>
      <w:r w:rsidRPr="001B3426">
        <w:rPr>
          <w:rFonts w:ascii="Times New Roman" w:eastAsia="Times New Roman" w:hAnsi="Times New Roman" w:cs="Times New Roman"/>
          <w:sz w:val="24"/>
          <w:szCs w:val="24"/>
          <w:lang w:eastAsia="pl-PL"/>
        </w:rPr>
        <w:t xml:space="preserve"> mowa w § </w:t>
      </w:r>
      <w:r w:rsidR="006531F4">
        <w:rPr>
          <w:rFonts w:ascii="Times New Roman" w:eastAsia="Times New Roman" w:hAnsi="Times New Roman" w:cs="Times New Roman"/>
          <w:sz w:val="24"/>
          <w:szCs w:val="24"/>
          <w:lang w:eastAsia="pl-PL"/>
        </w:rPr>
        <w:t>22</w:t>
      </w:r>
      <w:r w:rsidRPr="001B3426">
        <w:rPr>
          <w:rFonts w:ascii="Times New Roman" w:eastAsia="Times New Roman" w:hAnsi="Times New Roman" w:cs="Times New Roman"/>
          <w:sz w:val="24"/>
          <w:szCs w:val="24"/>
          <w:lang w:eastAsia="pl-PL"/>
        </w:rPr>
        <w:t xml:space="preserve"> ust. 1 pkt 5</w:t>
      </w:r>
      <w:r w:rsidR="00FB63AE">
        <w:rPr>
          <w:rFonts w:ascii="Times New Roman" w:eastAsia="Times New Roman" w:hAnsi="Times New Roman" w:cs="Times New Roman"/>
          <w:sz w:val="24"/>
          <w:szCs w:val="24"/>
          <w:lang w:eastAsia="pl-PL"/>
        </w:rPr>
        <w:t>;</w:t>
      </w:r>
    </w:p>
    <w:p w:rsidR="001B3426" w:rsidRPr="001B3426" w:rsidRDefault="00FB63AE" w:rsidP="001B3426">
      <w:pPr>
        <w:spacing w:before="120"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wartość współczynnik</w:t>
      </w:r>
      <w:r w:rsidR="006531F4">
        <w:rPr>
          <w:rFonts w:ascii="Times New Roman" w:eastAsia="Times New Roman" w:hAnsi="Times New Roman" w:cs="Times New Roman"/>
          <w:sz w:val="24"/>
          <w:szCs w:val="24"/>
          <w:lang w:eastAsia="pl-PL"/>
        </w:rPr>
        <w:t>ów</w:t>
      </w:r>
      <w:r>
        <w:rPr>
          <w:rFonts w:ascii="Times New Roman" w:eastAsia="Times New Roman" w:hAnsi="Times New Roman" w:cs="Times New Roman"/>
          <w:sz w:val="24"/>
          <w:szCs w:val="24"/>
          <w:lang w:eastAsia="pl-PL"/>
        </w:rPr>
        <w:t>, o który</w:t>
      </w:r>
      <w:r w:rsidR="006531F4">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mowa w § </w:t>
      </w:r>
      <w:r w:rsidR="006531F4">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ust. 1pkt</w:t>
      </w:r>
      <w:r w:rsidR="001B3426" w:rsidRPr="001B3426">
        <w:rPr>
          <w:rFonts w:ascii="Times New Roman" w:eastAsia="Times New Roman" w:hAnsi="Times New Roman" w:cs="Times New Roman"/>
          <w:sz w:val="24"/>
          <w:szCs w:val="24"/>
          <w:lang w:eastAsia="pl-PL"/>
        </w:rPr>
        <w:t xml:space="preserve"> 6</w:t>
      </w:r>
      <w:r w:rsidR="006531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dla każdej z grup</w:t>
      </w:r>
      <w:r w:rsidR="001B3426" w:rsidRPr="001B3426">
        <w:rPr>
          <w:rFonts w:ascii="Times New Roman" w:eastAsia="Times New Roman" w:hAnsi="Times New Roman" w:cs="Times New Roman"/>
          <w:sz w:val="24"/>
          <w:szCs w:val="24"/>
          <w:lang w:eastAsia="pl-PL"/>
        </w:rPr>
        <w:t>.</w:t>
      </w:r>
    </w:p>
    <w:p w:rsidR="001B3426" w:rsidRPr="001B3426" w:rsidRDefault="001B3426" w:rsidP="001B3426">
      <w:pPr>
        <w:spacing w:before="120" w:after="0" w:line="240" w:lineRule="auto"/>
        <w:jc w:val="both"/>
        <w:rPr>
          <w:rFonts w:ascii="Times New Roman" w:eastAsia="Times New Roman" w:hAnsi="Times New Roman" w:cs="Times New Roman"/>
          <w:sz w:val="24"/>
          <w:szCs w:val="24"/>
          <w:lang w:eastAsia="pl-PL"/>
        </w:rPr>
      </w:pPr>
    </w:p>
    <w:p w:rsidR="001B3426" w:rsidRPr="001B3426" w:rsidRDefault="001B3426" w:rsidP="001B3426">
      <w:pPr>
        <w:spacing w:before="120" w:after="0" w:line="240" w:lineRule="auto"/>
        <w:ind w:firstLine="708"/>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26</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1. Podmioty, o których mowa w § 2</w:t>
      </w:r>
      <w:r w:rsidR="006531F4">
        <w:rPr>
          <w:rFonts w:ascii="Times New Roman" w:eastAsia="Times New Roman" w:hAnsi="Times New Roman" w:cs="Times New Roman"/>
          <w:sz w:val="24"/>
          <w:szCs w:val="24"/>
          <w:lang w:eastAsia="pl-PL"/>
        </w:rPr>
        <w:t>3</w:t>
      </w:r>
      <w:r w:rsidRPr="001B3426">
        <w:rPr>
          <w:rFonts w:ascii="Times New Roman" w:eastAsia="Times New Roman" w:hAnsi="Times New Roman" w:cs="Times New Roman"/>
          <w:sz w:val="24"/>
          <w:szCs w:val="24"/>
          <w:lang w:eastAsia="pl-PL"/>
        </w:rPr>
        <w:t>, opłatę należną za dany rok uiszczają w terminie do dnia 30 września danego roku kalendarzowego.</w:t>
      </w:r>
    </w:p>
    <w:p w:rsidR="001B3426" w:rsidRPr="001B3426" w:rsidRDefault="001B3426" w:rsidP="001B3426">
      <w:pPr>
        <w:spacing w:before="120" w:after="0" w:line="240" w:lineRule="auto"/>
        <w:ind w:left="720"/>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2. Wraz z dokonaniem opłaty, o której mowa w ust. 1, w terminie nie dłuższym niż 5 dni podmiot przekazuje Komisji deklarację zawierającą:</w:t>
      </w:r>
    </w:p>
    <w:p w:rsidR="001B3426" w:rsidRPr="001B3426" w:rsidRDefault="001B3426" w:rsidP="001B3426">
      <w:pPr>
        <w:numPr>
          <w:ilvl w:val="0"/>
          <w:numId w:val="22"/>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nazwę podmiotu i numer identyfikacji podatkowej (NIP);</w:t>
      </w:r>
    </w:p>
    <w:p w:rsidR="001B3426" w:rsidRPr="001B3426" w:rsidRDefault="001B3426" w:rsidP="001B3426">
      <w:pPr>
        <w:widowControl w:val="0"/>
        <w:numPr>
          <w:ilvl w:val="0"/>
          <w:numId w:val="22"/>
        </w:numPr>
        <w:autoSpaceDE w:val="0"/>
        <w:autoSpaceDN w:val="0"/>
        <w:adjustRightInd w:val="0"/>
        <w:spacing w:after="0" w:line="240" w:lineRule="auto"/>
        <w:ind w:left="1276"/>
        <w:contextualSpacing/>
        <w:jc w:val="both"/>
        <w:rPr>
          <w:rFonts w:ascii="Times New Roman" w:eastAsiaTheme="minorEastAsia" w:hAnsi="Times New Roman" w:cs="Times New Roman"/>
          <w:bCs/>
          <w:sz w:val="24"/>
          <w:szCs w:val="24"/>
          <w:lang w:eastAsia="pl-PL"/>
        </w:rPr>
      </w:pPr>
      <w:r w:rsidRPr="001B3426">
        <w:rPr>
          <w:rFonts w:ascii="Times New Roman" w:eastAsiaTheme="minorEastAsia" w:hAnsi="Times New Roman" w:cs="Times New Roman"/>
          <w:bCs/>
          <w:sz w:val="24"/>
          <w:szCs w:val="24"/>
          <w:lang w:eastAsia="pl-PL"/>
        </w:rPr>
        <w:t>określenie rodzaj podmiotu lub rodzaj działalności z tytułu, której wnoszona jest opłata:</w:t>
      </w:r>
    </w:p>
    <w:p w:rsidR="001B3426" w:rsidRPr="001B3426" w:rsidRDefault="001B3426" w:rsidP="001B3426">
      <w:pPr>
        <w:widowControl w:val="0"/>
        <w:numPr>
          <w:ilvl w:val="0"/>
          <w:numId w:val="22"/>
        </w:numPr>
        <w:autoSpaceDE w:val="0"/>
        <w:autoSpaceDN w:val="0"/>
        <w:adjustRightInd w:val="0"/>
        <w:spacing w:after="0" w:line="240" w:lineRule="auto"/>
        <w:ind w:left="1276"/>
        <w:contextualSpacing/>
        <w:jc w:val="both"/>
        <w:rPr>
          <w:rFonts w:ascii="Times New Roman" w:eastAsiaTheme="minorEastAsia" w:hAnsi="Times New Roman" w:cs="Times New Roman"/>
          <w:bCs/>
          <w:sz w:val="24"/>
          <w:szCs w:val="24"/>
          <w:lang w:eastAsia="pl-PL"/>
        </w:rPr>
      </w:pPr>
      <w:r w:rsidRPr="001B3426">
        <w:rPr>
          <w:rFonts w:ascii="Times New Roman" w:eastAsiaTheme="minorEastAsia" w:hAnsi="Times New Roman" w:cs="Times New Roman"/>
          <w:bCs/>
          <w:sz w:val="24"/>
          <w:szCs w:val="24"/>
          <w:lang w:eastAsia="pl-PL"/>
        </w:rPr>
        <w:t>wskazanie grupy, do której przypisany jest podmiot</w:t>
      </w:r>
    </w:p>
    <w:p w:rsidR="001B3426" w:rsidRPr="001B3426" w:rsidRDefault="001B3426" w:rsidP="001B3426">
      <w:pPr>
        <w:numPr>
          <w:ilvl w:val="0"/>
          <w:numId w:val="22"/>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kwotę należnej za dany rok opłaty wraz ze wskazaniem kwoty stanowiącej podstawę jej obliczenia;</w:t>
      </w:r>
    </w:p>
    <w:p w:rsidR="001B3426" w:rsidRPr="001B3426" w:rsidRDefault="001B3426" w:rsidP="001B3426">
      <w:pPr>
        <w:numPr>
          <w:ilvl w:val="0"/>
          <w:numId w:val="22"/>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kwotę wpłaty dokonanej na rachunek bankowy urzędu obsługującego Komisję;</w:t>
      </w:r>
    </w:p>
    <w:p w:rsidR="001B3426" w:rsidRPr="001B3426" w:rsidRDefault="001B3426" w:rsidP="001B3426">
      <w:pPr>
        <w:numPr>
          <w:ilvl w:val="0"/>
          <w:numId w:val="22"/>
        </w:numPr>
        <w:spacing w:before="120" w:after="0" w:line="240" w:lineRule="auto"/>
        <w:ind w:left="1276"/>
        <w:contextualSpacing/>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datę wpłaty, o której mowa w pkt 5.</w:t>
      </w:r>
    </w:p>
    <w:p w:rsidR="001B3426" w:rsidRPr="001B3426" w:rsidRDefault="001B3426" w:rsidP="001B3426">
      <w:pPr>
        <w:spacing w:before="120" w:after="0" w:line="240" w:lineRule="auto"/>
        <w:ind w:firstLine="709"/>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 xml:space="preserve">3. Deklaracja, o której mowa w ust. 2, jest deklaracją w rozumieniu przepisów działu III ustawy z dnia 29 sierpnia 1997 r. - Ordynacja podatkowa (Dz. U. z 2012 r. poz. 749, z późn. zm.). </w:t>
      </w:r>
    </w:p>
    <w:p w:rsidR="001B3426" w:rsidRPr="001B3426" w:rsidRDefault="001B3426" w:rsidP="001B3426">
      <w:pPr>
        <w:spacing w:before="120" w:after="0" w:line="240" w:lineRule="auto"/>
        <w:ind w:firstLine="709"/>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t>5. Wzór deklaracji, o której mowa w ust. 2, określa załącznik do rozporządzenia. Deklaracja ta może być składana w postaci dokumentu elektronicznego w rozumieniu ustawy z dnia 17 lutego 2005 r. o informatyzacji działalności podmiotów realizujących zadania publiczne (Dz. U. z 2013 r. poz. 235 i z 2014 r. poz. 183).</w:t>
      </w:r>
    </w:p>
    <w:p w:rsidR="001B3426" w:rsidRPr="001B3426" w:rsidRDefault="001B3426" w:rsidP="001B3426">
      <w:pPr>
        <w:ind w:firstLine="709"/>
        <w:contextualSpacing/>
        <w:rPr>
          <w:rFonts w:ascii="Times New Roman" w:eastAsia="Times New Roman" w:hAnsi="Times New Roman" w:cs="Times New Roman"/>
          <w:b/>
          <w:bCs/>
          <w:sz w:val="24"/>
          <w:szCs w:val="24"/>
          <w:lang w:eastAsia="pl-PL"/>
        </w:rPr>
      </w:pPr>
      <w:r w:rsidRPr="001B3426">
        <w:rPr>
          <w:rFonts w:ascii="Times New Roman" w:eastAsia="Times New Roman" w:hAnsi="Times New Roman" w:cs="Times New Roman"/>
          <w:bCs/>
          <w:sz w:val="24"/>
          <w:szCs w:val="24"/>
          <w:lang w:eastAsia="pl-PL"/>
        </w:rPr>
        <w:t xml:space="preserve">6. Podmioty, o których mowa w § 20 pkt 4 lit. b i d, wraz z </w:t>
      </w:r>
      <w:r w:rsidRPr="001B3426">
        <w:rPr>
          <w:rFonts w:ascii="Times New Roman" w:eastAsia="Times New Roman" w:hAnsi="Times New Roman" w:cs="Times New Roman"/>
          <w:sz w:val="24"/>
          <w:szCs w:val="24"/>
          <w:lang w:eastAsia="pl-PL"/>
        </w:rPr>
        <w:t>deklaracją, o której mowa w ust. 2, przekazują  potwierdzoną za zgodność z oryginałem kopię deklaracji CIT za rok poprzedni. Przepis ust. 5 zdanie drugie stosuje się odpowiednio.</w:t>
      </w:r>
    </w:p>
    <w:p w:rsidR="001B3426" w:rsidRPr="001B3426" w:rsidRDefault="001B3426" w:rsidP="001B3426">
      <w:pPr>
        <w:spacing w:before="120" w:after="0" w:line="240" w:lineRule="auto"/>
        <w:ind w:firstLine="360"/>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w:t>
      </w:r>
      <w:r w:rsidR="00871583">
        <w:rPr>
          <w:rFonts w:ascii="Times New Roman" w:eastAsia="Times New Roman" w:hAnsi="Times New Roman" w:cs="Times New Roman"/>
          <w:b/>
          <w:sz w:val="24"/>
          <w:szCs w:val="24"/>
          <w:lang w:eastAsia="pl-PL"/>
        </w:rPr>
        <w:t>27</w:t>
      </w:r>
      <w:r w:rsidRPr="001B3426">
        <w:rPr>
          <w:rFonts w:ascii="Times New Roman" w:eastAsia="Times New Roman" w:hAnsi="Times New Roman" w:cs="Times New Roman"/>
          <w:b/>
          <w:bCs/>
          <w:sz w:val="24"/>
          <w:szCs w:val="24"/>
          <w:lang w:eastAsia="pl-PL"/>
        </w:rPr>
        <w:t>.</w:t>
      </w:r>
      <w:r w:rsidRPr="001B3426">
        <w:rPr>
          <w:rFonts w:ascii="Times New Roman" w:eastAsia="Times New Roman" w:hAnsi="Times New Roman" w:cs="Times New Roman"/>
          <w:sz w:val="24"/>
          <w:szCs w:val="24"/>
          <w:lang w:eastAsia="pl-PL"/>
        </w:rPr>
        <w:t> Opłatę należną od podmiotu w danej grupie za 2015 r. oblicza się według wzoru:</w:t>
      </w:r>
    </w:p>
    <w:p w:rsidR="001B3426" w:rsidRPr="001B3426" w:rsidRDefault="001B3426" w:rsidP="001B3426">
      <w:pPr>
        <w:spacing w:before="120" w:after="0" w:line="240" w:lineRule="auto"/>
        <w:ind w:left="2124" w:firstLine="708"/>
        <w:jc w:val="both"/>
        <w:rPr>
          <w:rFonts w:ascii="Times New Roman" w:eastAsia="Times New Roman" w:hAnsi="Times New Roman" w:cs="Times New Roman"/>
          <w:b/>
          <w:i/>
          <w:sz w:val="24"/>
          <w:szCs w:val="24"/>
          <w:lang w:eastAsia="pl-PL"/>
        </w:rPr>
      </w:pPr>
    </w:p>
    <w:p w:rsidR="001B3426" w:rsidRPr="001B3426" w:rsidRDefault="001B3426" w:rsidP="001B3426">
      <w:pPr>
        <w:spacing w:before="120" w:after="0" w:line="240" w:lineRule="auto"/>
        <w:ind w:left="2124" w:firstLine="708"/>
        <w:jc w:val="both"/>
        <w:rPr>
          <w:rFonts w:ascii="Times New Roman" w:eastAsia="Times New Roman" w:hAnsi="Times New Roman" w:cs="Times New Roman"/>
          <w:b/>
          <w:sz w:val="24"/>
          <w:szCs w:val="24"/>
          <w:lang w:eastAsia="pl-PL"/>
        </w:rPr>
      </w:pPr>
      <w:r w:rsidRPr="001B3426">
        <w:rPr>
          <w:rFonts w:ascii="Times New Roman" w:eastAsia="Times New Roman" w:hAnsi="Times New Roman" w:cs="Times New Roman"/>
          <w:b/>
          <w:i/>
          <w:sz w:val="24"/>
          <w:szCs w:val="24"/>
          <w:lang w:eastAsia="pl-PL"/>
        </w:rPr>
        <w:t>WN</w:t>
      </w:r>
      <w:r w:rsidRPr="001B3426">
        <w:rPr>
          <w:rFonts w:ascii="Times New Roman" w:eastAsia="Times New Roman" w:hAnsi="Times New Roman" w:cs="Times New Roman"/>
          <w:b/>
          <w:i/>
          <w:sz w:val="24"/>
          <w:szCs w:val="24"/>
          <w:vertAlign w:val="subscript"/>
          <w:lang w:eastAsia="pl-PL"/>
        </w:rPr>
        <w:t>P</w:t>
      </w:r>
      <w:r w:rsidRPr="001B3426">
        <w:rPr>
          <w:rFonts w:ascii="Times New Roman" w:eastAsia="Times New Roman" w:hAnsi="Times New Roman" w:cs="Times New Roman"/>
          <w:b/>
          <w:sz w:val="24"/>
          <w:szCs w:val="24"/>
          <w:vertAlign w:val="subscript"/>
          <w:lang w:eastAsia="pl-PL"/>
        </w:rPr>
        <w:t xml:space="preserve"> </w:t>
      </w:r>
      <w:r w:rsidRPr="001B3426">
        <w:rPr>
          <w:rFonts w:ascii="Times New Roman" w:eastAsia="Times New Roman" w:hAnsi="Times New Roman" w:cs="Times New Roman"/>
          <w:b/>
          <w:sz w:val="24"/>
          <w:szCs w:val="24"/>
          <w:lang w:eastAsia="pl-PL"/>
        </w:rPr>
        <w:t xml:space="preserve">= </w:t>
      </w:r>
      <w:r w:rsidRPr="001B3426">
        <w:rPr>
          <w:rFonts w:ascii="Times New Roman" w:eastAsia="Times New Roman" w:hAnsi="Times New Roman" w:cs="Times New Roman"/>
          <w:b/>
          <w:i/>
          <w:sz w:val="24"/>
          <w:szCs w:val="24"/>
          <w:lang w:eastAsia="pl-PL"/>
        </w:rPr>
        <w:t>P</w:t>
      </w:r>
      <w:r w:rsidRPr="001B3426">
        <w:rPr>
          <w:rFonts w:ascii="Times New Roman" w:eastAsia="Times New Roman" w:hAnsi="Times New Roman" w:cs="Times New Roman"/>
          <w:b/>
          <w:i/>
          <w:sz w:val="24"/>
          <w:szCs w:val="24"/>
          <w:vertAlign w:val="subscript"/>
          <w:lang w:eastAsia="pl-PL"/>
        </w:rPr>
        <w:t>P</w:t>
      </w:r>
      <w:r w:rsidRPr="001B3426">
        <w:rPr>
          <w:rFonts w:ascii="Times New Roman" w:eastAsia="Times New Roman" w:hAnsi="Times New Roman" w:cs="Times New Roman"/>
          <w:b/>
          <w:i/>
          <w:sz w:val="24"/>
          <w:szCs w:val="24"/>
          <w:lang w:eastAsia="pl-PL"/>
        </w:rPr>
        <w:t xml:space="preserve"> </w:t>
      </w:r>
      <w:r w:rsidRPr="001B3426">
        <w:rPr>
          <w:rFonts w:ascii="Times New Roman" w:eastAsia="Times New Roman" w:hAnsi="Times New Roman" w:cs="Times New Roman"/>
          <w:b/>
          <w:i/>
          <w:sz w:val="18"/>
          <w:szCs w:val="24"/>
          <w:lang w:eastAsia="pl-PL"/>
        </w:rPr>
        <w:t xml:space="preserve">* </w:t>
      </w:r>
      <w:proofErr w:type="spellStart"/>
      <w:r w:rsidRPr="001B3426">
        <w:rPr>
          <w:rFonts w:ascii="Times New Roman" w:eastAsia="Times New Roman" w:hAnsi="Times New Roman" w:cs="Times New Roman"/>
          <w:b/>
          <w:i/>
          <w:sz w:val="24"/>
          <w:szCs w:val="24"/>
          <w:lang w:eastAsia="pl-PL"/>
        </w:rPr>
        <w:t>s</w:t>
      </w:r>
      <w:r w:rsidRPr="001B3426">
        <w:rPr>
          <w:rFonts w:ascii="Times New Roman" w:eastAsia="Times New Roman" w:hAnsi="Times New Roman" w:cs="Times New Roman"/>
          <w:b/>
          <w:i/>
          <w:szCs w:val="24"/>
          <w:vertAlign w:val="subscript"/>
          <w:lang w:eastAsia="pl-PL"/>
        </w:rPr>
        <w:t>Gn</w:t>
      </w:r>
      <w:proofErr w:type="spellEnd"/>
      <w:r w:rsidRPr="001B3426">
        <w:rPr>
          <w:rFonts w:ascii="Times New Roman" w:eastAsia="Times New Roman" w:hAnsi="Times New Roman" w:cs="Times New Roman"/>
          <w:b/>
          <w:i/>
          <w:sz w:val="24"/>
          <w:szCs w:val="24"/>
          <w:lang w:eastAsia="pl-PL"/>
        </w:rPr>
        <w:t xml:space="preserve"> </w:t>
      </w:r>
    </w:p>
    <w:p w:rsidR="001B3426" w:rsidRPr="001B3426" w:rsidRDefault="001B3426" w:rsidP="001B3426">
      <w:pPr>
        <w:tabs>
          <w:tab w:val="left" w:pos="4157"/>
        </w:tabs>
        <w:spacing w:line="240" w:lineRule="auto"/>
        <w:jc w:val="both"/>
        <w:rPr>
          <w:rFonts w:ascii="Times New Roman" w:hAnsi="Times New Roman" w:cs="Times New Roman"/>
          <w:b/>
          <w:sz w:val="32"/>
          <w:szCs w:val="32"/>
        </w:rPr>
      </w:pPr>
    </w:p>
    <w:p w:rsidR="001B3426" w:rsidRPr="001B3426" w:rsidRDefault="001B3426" w:rsidP="001B3426">
      <w:pPr>
        <w:spacing w:after="0" w:line="240" w:lineRule="auto"/>
        <w:ind w:left="708"/>
        <w:jc w:val="both"/>
        <w:rPr>
          <w:rFonts w:ascii="Times New Roman" w:hAnsi="Times New Roman" w:cs="Times New Roman"/>
          <w:sz w:val="24"/>
          <w:szCs w:val="24"/>
        </w:rPr>
      </w:pPr>
      <w:r w:rsidRPr="001B3426">
        <w:rPr>
          <w:rFonts w:ascii="Times New Roman" w:hAnsi="Times New Roman" w:cs="Times New Roman"/>
          <w:sz w:val="24"/>
          <w:szCs w:val="24"/>
        </w:rPr>
        <w:t xml:space="preserve">gdzie: </w:t>
      </w:r>
    </w:p>
    <w:p w:rsidR="001B3426" w:rsidRPr="001B3426" w:rsidRDefault="001B3426" w:rsidP="001B3426">
      <w:pPr>
        <w:spacing w:after="0" w:line="240" w:lineRule="auto"/>
        <w:ind w:left="1428"/>
        <w:jc w:val="both"/>
        <w:rPr>
          <w:rFonts w:ascii="Times New Roman" w:hAnsi="Times New Roman" w:cs="Times New Roman"/>
          <w:strike/>
          <w:sz w:val="24"/>
          <w:szCs w:val="24"/>
        </w:rPr>
      </w:pPr>
    </w:p>
    <w:p w:rsidR="001B3426" w:rsidRPr="001B3426" w:rsidRDefault="001B3426" w:rsidP="001B3426">
      <w:pPr>
        <w:spacing w:after="0" w:line="240" w:lineRule="auto"/>
        <w:ind w:left="1428"/>
        <w:jc w:val="both"/>
        <w:rPr>
          <w:rFonts w:ascii="Times New Roman" w:hAnsi="Times New Roman" w:cs="Times New Roman"/>
          <w:szCs w:val="24"/>
        </w:rPr>
      </w:pPr>
      <w:r w:rsidRPr="001B3426">
        <w:rPr>
          <w:rFonts w:ascii="Times New Roman" w:eastAsia="Times New Roman" w:hAnsi="Times New Roman" w:cs="Times New Roman"/>
          <w:b/>
          <w:i/>
          <w:szCs w:val="24"/>
          <w:lang w:eastAsia="pl-PL"/>
        </w:rPr>
        <w:t>P</w:t>
      </w:r>
      <w:r w:rsidRPr="001B3426">
        <w:rPr>
          <w:rFonts w:ascii="Times New Roman" w:eastAsia="Times New Roman" w:hAnsi="Times New Roman" w:cs="Times New Roman"/>
          <w:b/>
          <w:i/>
          <w:szCs w:val="24"/>
          <w:vertAlign w:val="subscript"/>
          <w:lang w:eastAsia="pl-PL"/>
        </w:rPr>
        <w:t>P</w:t>
      </w:r>
      <w:r w:rsidRPr="001B3426">
        <w:rPr>
          <w:rFonts w:ascii="Times New Roman" w:eastAsiaTheme="minorEastAsia" w:hAnsi="Times New Roman" w:cs="Times New Roman"/>
          <w:b/>
          <w:i/>
          <w:szCs w:val="24"/>
        </w:rPr>
        <w:t xml:space="preserve"> – </w:t>
      </w:r>
      <w:r w:rsidRPr="001B3426">
        <w:rPr>
          <w:rFonts w:ascii="Times New Roman" w:hAnsi="Times New Roman" w:cs="Times New Roman"/>
          <w:szCs w:val="24"/>
        </w:rPr>
        <w:t xml:space="preserve">oznacza określoną w ustawie podstawę obliczenia opłaty należnej od danego podmiotu </w:t>
      </w:r>
    </w:p>
    <w:p w:rsidR="001B3426" w:rsidRPr="001B3426" w:rsidRDefault="001B3426" w:rsidP="001B3426">
      <w:pPr>
        <w:spacing w:after="0" w:line="240" w:lineRule="auto"/>
        <w:ind w:left="1428"/>
        <w:jc w:val="both"/>
        <w:rPr>
          <w:rFonts w:ascii="Times New Roman" w:hAnsi="Times New Roman" w:cs="Times New Roman"/>
          <w:szCs w:val="24"/>
        </w:rPr>
      </w:pPr>
    </w:p>
    <w:p w:rsidR="001B3426" w:rsidRPr="001B3426" w:rsidRDefault="001B3426" w:rsidP="001B3426">
      <w:pPr>
        <w:spacing w:after="0" w:line="240" w:lineRule="auto"/>
        <w:ind w:left="1843" w:hanging="415"/>
        <w:jc w:val="both"/>
        <w:rPr>
          <w:rFonts w:ascii="Times New Roman" w:hAnsi="Times New Roman" w:cs="Times New Roman"/>
          <w:szCs w:val="24"/>
        </w:rPr>
      </w:pPr>
      <w:proofErr w:type="spellStart"/>
      <w:r w:rsidRPr="001B3426">
        <w:rPr>
          <w:rFonts w:ascii="Times New Roman" w:hAnsi="Times New Roman" w:cs="Times New Roman"/>
          <w:b/>
          <w:i/>
          <w:szCs w:val="24"/>
        </w:rPr>
        <w:t>s</w:t>
      </w:r>
      <w:r w:rsidRPr="001B3426">
        <w:rPr>
          <w:rFonts w:ascii="Times New Roman" w:eastAsia="Times New Roman" w:hAnsi="Times New Roman" w:cs="Times New Roman"/>
          <w:b/>
          <w:i/>
          <w:sz w:val="20"/>
          <w:szCs w:val="24"/>
          <w:vertAlign w:val="subscript"/>
          <w:lang w:eastAsia="pl-PL"/>
        </w:rPr>
        <w:t>Gn</w:t>
      </w:r>
      <w:proofErr w:type="spellEnd"/>
      <w:r w:rsidRPr="001B3426">
        <w:rPr>
          <w:rFonts w:ascii="Times New Roman" w:hAnsi="Times New Roman" w:cs="Times New Roman"/>
          <w:szCs w:val="24"/>
        </w:rPr>
        <w:t xml:space="preserve"> – oznacza stawkę dla grupy, do której przypisany jest dany podmiot zgodnie </w:t>
      </w:r>
      <w:r w:rsidRPr="001B3426">
        <w:rPr>
          <w:rFonts w:ascii="Times New Roman" w:hAnsi="Times New Roman" w:cs="Times New Roman"/>
          <w:szCs w:val="24"/>
        </w:rPr>
        <w:br/>
        <w:t>z § 2</w:t>
      </w:r>
      <w:r w:rsidR="006531F4">
        <w:rPr>
          <w:rFonts w:ascii="Times New Roman" w:hAnsi="Times New Roman" w:cs="Times New Roman"/>
          <w:szCs w:val="24"/>
        </w:rPr>
        <w:t>3</w:t>
      </w:r>
      <w:r w:rsidRPr="001B3426">
        <w:rPr>
          <w:rFonts w:ascii="Times New Roman" w:hAnsi="Times New Roman" w:cs="Times New Roman"/>
          <w:szCs w:val="24"/>
        </w:rPr>
        <w:t>, której wysokość ustalana jest zgodnie z § 2</w:t>
      </w:r>
      <w:r w:rsidR="00321C59">
        <w:rPr>
          <w:rFonts w:ascii="Times New Roman" w:hAnsi="Times New Roman" w:cs="Times New Roman"/>
          <w:szCs w:val="24"/>
        </w:rPr>
        <w:t>4</w:t>
      </w:r>
      <w:r w:rsidRPr="001B3426">
        <w:rPr>
          <w:rFonts w:ascii="Times New Roman" w:hAnsi="Times New Roman" w:cs="Times New Roman"/>
          <w:szCs w:val="24"/>
        </w:rPr>
        <w:t xml:space="preserve"> ust. 2.</w:t>
      </w: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p>
    <w:p w:rsidR="001B3426" w:rsidRPr="001B3426" w:rsidRDefault="001B3426" w:rsidP="001B3426">
      <w:pPr>
        <w:spacing w:before="120" w:after="0" w:line="240" w:lineRule="auto"/>
        <w:ind w:firstLine="426"/>
        <w:jc w:val="both"/>
        <w:rPr>
          <w:rFonts w:ascii="Times New Roman" w:eastAsia="Times New Roman" w:hAnsi="Times New Roman" w:cs="Times New Roman"/>
          <w:sz w:val="24"/>
          <w:szCs w:val="24"/>
          <w:lang w:eastAsia="pl-PL"/>
        </w:rPr>
      </w:pPr>
      <w:r w:rsidRPr="001B3426">
        <w:rPr>
          <w:rFonts w:ascii="Times New Roman" w:eastAsia="Times New Roman" w:hAnsi="Times New Roman" w:cs="Times New Roman"/>
          <w:b/>
          <w:sz w:val="24"/>
          <w:szCs w:val="24"/>
          <w:lang w:eastAsia="pl-PL"/>
        </w:rPr>
        <w:t xml:space="preserve">§ </w:t>
      </w:r>
      <w:r w:rsidR="00871583">
        <w:rPr>
          <w:rFonts w:ascii="Times New Roman" w:eastAsia="Times New Roman" w:hAnsi="Times New Roman" w:cs="Times New Roman"/>
          <w:b/>
          <w:sz w:val="24"/>
          <w:szCs w:val="24"/>
          <w:lang w:eastAsia="pl-PL"/>
        </w:rPr>
        <w:t>28</w:t>
      </w:r>
      <w:r w:rsidRPr="001B3426">
        <w:rPr>
          <w:rFonts w:ascii="Times New Roman" w:eastAsia="Times New Roman" w:hAnsi="Times New Roman" w:cs="Times New Roman"/>
          <w:b/>
          <w:sz w:val="24"/>
          <w:szCs w:val="24"/>
          <w:lang w:eastAsia="pl-PL"/>
        </w:rPr>
        <w:t>.</w:t>
      </w:r>
      <w:r w:rsidRPr="001B3426">
        <w:rPr>
          <w:rFonts w:ascii="Times New Roman" w:eastAsia="Times New Roman" w:hAnsi="Times New Roman" w:cs="Times New Roman"/>
          <w:sz w:val="24"/>
          <w:szCs w:val="24"/>
          <w:lang w:eastAsia="pl-PL"/>
        </w:rPr>
        <w:t xml:space="preserve"> Rozporządzenie wchodzi w życie z dniem 1 stycznia 2015 r.</w:t>
      </w:r>
    </w:p>
    <w:p w:rsidR="001B3426" w:rsidRPr="001B3426" w:rsidRDefault="001B3426" w:rsidP="001B3426">
      <w:pPr>
        <w:rPr>
          <w:rFonts w:ascii="Times New Roman" w:eastAsia="Times New Roman" w:hAnsi="Times New Roman" w:cs="Times New Roman"/>
          <w:sz w:val="24"/>
          <w:szCs w:val="24"/>
          <w:lang w:eastAsia="pl-PL"/>
        </w:rPr>
      </w:pPr>
      <w:r w:rsidRPr="001B3426">
        <w:rPr>
          <w:rFonts w:ascii="Times New Roman" w:eastAsia="Times New Roman" w:hAnsi="Times New Roman" w:cs="Times New Roman"/>
          <w:sz w:val="24"/>
          <w:szCs w:val="24"/>
          <w:lang w:eastAsia="pl-PL"/>
        </w:rPr>
        <w:br w:type="page"/>
      </w:r>
    </w:p>
    <w:p w:rsidR="001B3426" w:rsidRPr="001B3426" w:rsidRDefault="001B3426" w:rsidP="001B3426">
      <w:pPr>
        <w:widowControl w:val="0"/>
        <w:autoSpaceDE w:val="0"/>
        <w:autoSpaceDN w:val="0"/>
        <w:adjustRightInd w:val="0"/>
        <w:spacing w:after="0" w:line="240" w:lineRule="auto"/>
        <w:jc w:val="right"/>
        <w:rPr>
          <w:rFonts w:ascii="Times New Roman" w:eastAsiaTheme="minorEastAsia" w:hAnsi="Times New Roman" w:cs="Times New Roman"/>
          <w:b/>
          <w:sz w:val="18"/>
          <w:szCs w:val="26"/>
          <w:lang w:eastAsia="pl-PL"/>
        </w:rPr>
      </w:pPr>
      <w:r w:rsidRPr="001B3426">
        <w:rPr>
          <w:rFonts w:ascii="Times New Roman" w:eastAsiaTheme="minorEastAsia" w:hAnsi="Times New Roman" w:cs="Times New Roman"/>
          <w:b/>
          <w:sz w:val="18"/>
          <w:szCs w:val="26"/>
          <w:lang w:eastAsia="pl-PL"/>
        </w:rPr>
        <w:lastRenderedPageBreak/>
        <w:t xml:space="preserve">Załącznik do rozporządzenia </w:t>
      </w:r>
      <w:r w:rsidRPr="001B3426">
        <w:rPr>
          <w:rFonts w:ascii="Times New Roman" w:eastAsiaTheme="minorEastAsia" w:hAnsi="Times New Roman" w:cs="Times New Roman"/>
          <w:b/>
          <w:sz w:val="18"/>
          <w:szCs w:val="26"/>
          <w:lang w:eastAsia="pl-PL"/>
        </w:rPr>
        <w:br/>
        <w:t xml:space="preserve">Ministra Finansów </w:t>
      </w:r>
      <w:r w:rsidRPr="001B3426">
        <w:rPr>
          <w:rFonts w:ascii="Times New Roman" w:eastAsiaTheme="minorEastAsia" w:hAnsi="Times New Roman" w:cs="Times New Roman"/>
          <w:b/>
          <w:sz w:val="18"/>
          <w:szCs w:val="26"/>
          <w:lang w:eastAsia="pl-PL"/>
        </w:rPr>
        <w:br/>
        <w:t>(poz.  )</w:t>
      </w:r>
    </w:p>
    <w:p w:rsidR="001B3426" w:rsidRPr="001B3426" w:rsidRDefault="001B3426" w:rsidP="001B3426">
      <w:pPr>
        <w:widowControl w:val="0"/>
        <w:autoSpaceDE w:val="0"/>
        <w:autoSpaceDN w:val="0"/>
        <w:adjustRightInd w:val="0"/>
        <w:spacing w:before="240" w:after="240" w:line="240" w:lineRule="auto"/>
        <w:jc w:val="center"/>
        <w:rPr>
          <w:rFonts w:ascii="Times New Roman" w:eastAsiaTheme="minorEastAsia" w:hAnsi="Times New Roman" w:cs="Times New Roman"/>
          <w:szCs w:val="26"/>
          <w:lang w:eastAsia="pl-PL"/>
        </w:rPr>
      </w:pPr>
      <w:r w:rsidRPr="001B3426">
        <w:rPr>
          <w:rFonts w:ascii="Times New Roman" w:eastAsiaTheme="minorEastAsia" w:hAnsi="Times New Roman" w:cs="Times New Roman"/>
          <w:szCs w:val="26"/>
          <w:lang w:eastAsia="pl-PL"/>
        </w:rPr>
        <w:t>WZÓR</w:t>
      </w:r>
    </w:p>
    <w:p w:rsidR="001B3426" w:rsidRPr="001B3426" w:rsidRDefault="001B3426" w:rsidP="001B3426">
      <w:pPr>
        <w:widowControl w:val="0"/>
        <w:autoSpaceDE w:val="0"/>
        <w:autoSpaceDN w:val="0"/>
        <w:adjustRightInd w:val="0"/>
        <w:spacing w:after="0" w:line="240" w:lineRule="auto"/>
        <w:jc w:val="center"/>
        <w:rPr>
          <w:rFonts w:ascii="Times New Roman" w:eastAsiaTheme="minorEastAsia" w:hAnsi="Times New Roman" w:cs="Times New Roman"/>
          <w:szCs w:val="26"/>
          <w:lang w:eastAsia="pl-PL"/>
        </w:rPr>
      </w:pPr>
      <w:r w:rsidRPr="001B3426">
        <w:rPr>
          <w:rFonts w:ascii="Times New Roman" w:eastAsiaTheme="minorEastAsia" w:hAnsi="Times New Roman" w:cs="Times New Roman"/>
          <w:b/>
          <w:bCs/>
          <w:szCs w:val="26"/>
          <w:lang w:eastAsia="pl-PL"/>
        </w:rPr>
        <w:t>DEKLARACJA O OPŁACIE WNIESIONEJ</w:t>
      </w:r>
    </w:p>
    <w:p w:rsidR="001B3426" w:rsidRPr="001B3426" w:rsidRDefault="001B3426" w:rsidP="001B3426">
      <w:pPr>
        <w:widowControl w:val="0"/>
        <w:autoSpaceDE w:val="0"/>
        <w:autoSpaceDN w:val="0"/>
        <w:adjustRightInd w:val="0"/>
        <w:spacing w:after="0" w:line="240" w:lineRule="auto"/>
        <w:jc w:val="center"/>
        <w:rPr>
          <w:rFonts w:ascii="Times New Roman" w:eastAsiaTheme="minorEastAsia" w:hAnsi="Times New Roman" w:cs="Times New Roman"/>
          <w:szCs w:val="26"/>
          <w:lang w:eastAsia="pl-PL"/>
        </w:rPr>
      </w:pPr>
      <w:r w:rsidRPr="001B3426">
        <w:rPr>
          <w:rFonts w:ascii="Times New Roman" w:eastAsiaTheme="minorEastAsia" w:hAnsi="Times New Roman" w:cs="Times New Roman"/>
          <w:b/>
          <w:bCs/>
          <w:szCs w:val="26"/>
          <w:lang w:eastAsia="pl-PL"/>
        </w:rPr>
        <w:t>NA POKRYCIE KOSZTÓW NADZORU NAD RYNKIEM KAPITAŁOWYM</w:t>
      </w:r>
    </w:p>
    <w:p w:rsidR="001B3426" w:rsidRPr="001B3426" w:rsidRDefault="001B3426" w:rsidP="001B3426">
      <w:pPr>
        <w:widowControl w:val="0"/>
        <w:autoSpaceDE w:val="0"/>
        <w:autoSpaceDN w:val="0"/>
        <w:adjustRightInd w:val="0"/>
        <w:spacing w:before="240" w:after="240" w:line="240" w:lineRule="auto"/>
        <w:jc w:val="center"/>
        <w:rPr>
          <w:rFonts w:ascii="Times New Roman" w:eastAsiaTheme="minorEastAsia" w:hAnsi="Times New Roman" w:cs="Times New Roman"/>
          <w:szCs w:val="26"/>
          <w:lang w:eastAsia="pl-PL"/>
        </w:rPr>
      </w:pPr>
      <w:r w:rsidRPr="001B3426">
        <w:rPr>
          <w:rFonts w:ascii="Times New Roman" w:eastAsiaTheme="minorEastAsia" w:hAnsi="Times New Roman" w:cs="Times New Roman"/>
          <w:szCs w:val="26"/>
          <w:lang w:eastAsia="pl-PL"/>
        </w:rPr>
        <w:t>za ............. rok</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Cs w:val="26"/>
          <w:lang w:eastAsia="pl-PL"/>
        </w:rPr>
      </w:pPr>
      <w:r w:rsidRPr="001B3426">
        <w:rPr>
          <w:rFonts w:ascii="Times New Roman" w:eastAsiaTheme="minorEastAsia" w:hAnsi="Times New Roman" w:cs="Times New Roman"/>
          <w:b/>
          <w:bCs/>
          <w:szCs w:val="26"/>
          <w:lang w:eastAsia="pl-PL"/>
        </w:rPr>
        <w:t>Nazwa podmiotu:</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Cs w:val="26"/>
          <w:lang w:eastAsia="pl-PL"/>
        </w:rPr>
      </w:pPr>
      <w:r w:rsidRPr="001B3426">
        <w:rPr>
          <w:rFonts w:ascii="Times New Roman" w:eastAsiaTheme="minorEastAsia" w:hAnsi="Times New Roman" w:cs="Times New Roman"/>
          <w:b/>
          <w:bCs/>
          <w:szCs w:val="26"/>
          <w:lang w:eastAsia="pl-PL"/>
        </w:rPr>
        <w:t>...........................................................................................</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r w:rsidRPr="001B3426">
        <w:rPr>
          <w:rFonts w:ascii="Times New Roman" w:eastAsiaTheme="minorEastAsia" w:hAnsi="Times New Roman" w:cs="Times New Roman"/>
          <w:b/>
          <w:bCs/>
          <w:szCs w:val="26"/>
          <w:lang w:eastAsia="pl-PL"/>
        </w:rPr>
        <w:t>...........................................................................................</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p>
    <w:p w:rsidR="001B3426" w:rsidRPr="001B3426" w:rsidRDefault="001B3426" w:rsidP="001B3426">
      <w:pPr>
        <w:widowControl w:val="0"/>
        <w:autoSpaceDE w:val="0"/>
        <w:autoSpaceDN w:val="0"/>
        <w:adjustRightInd w:val="0"/>
        <w:spacing w:after="240" w:line="240" w:lineRule="auto"/>
        <w:jc w:val="both"/>
        <w:rPr>
          <w:rFonts w:ascii="Times New Roman" w:eastAsiaTheme="minorEastAsia" w:hAnsi="Times New Roman" w:cs="Times New Roman"/>
          <w:szCs w:val="26"/>
          <w:lang w:eastAsia="pl-PL"/>
        </w:rPr>
      </w:pPr>
      <w:r w:rsidRPr="001B3426">
        <w:rPr>
          <w:rFonts w:ascii="Times New Roman" w:eastAsiaTheme="minorEastAsia" w:hAnsi="Times New Roman" w:cs="Times New Roman"/>
          <w:b/>
          <w:bCs/>
          <w:szCs w:val="26"/>
          <w:lang w:eastAsia="pl-PL"/>
        </w:rPr>
        <w:t>NIP: ..................................................................................</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r w:rsidRPr="001B3426">
        <w:rPr>
          <w:rFonts w:ascii="Times New Roman" w:eastAsiaTheme="minorEastAsia" w:hAnsi="Times New Roman" w:cs="Times New Roman"/>
          <w:b/>
          <w:bCs/>
          <w:szCs w:val="26"/>
          <w:lang w:eastAsia="pl-PL"/>
        </w:rPr>
        <w:t>Rodzaj podmiotu lub rodzaj działalności z tytułu, której wnoszona jest opłata:</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r w:rsidRPr="001B3426">
        <w:rPr>
          <w:rFonts w:ascii="Times New Roman" w:eastAsiaTheme="minorEastAsia" w:hAnsi="Times New Roman" w:cs="Times New Roman"/>
          <w:b/>
          <w:bCs/>
          <w:szCs w:val="26"/>
          <w:lang w:eastAsia="pl-PL"/>
        </w:rPr>
        <w:t>………………………………………………………………………………………..</w:t>
      </w: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p>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b/>
          <w:bCs/>
          <w:szCs w:val="26"/>
          <w:lang w:eastAsia="pl-PL"/>
        </w:rPr>
      </w:pPr>
      <w:r w:rsidRPr="001B3426">
        <w:rPr>
          <w:rFonts w:ascii="Times New Roman" w:eastAsiaTheme="minorEastAsia" w:hAnsi="Times New Roman" w:cs="Times New Roman"/>
          <w:b/>
          <w:bCs/>
          <w:szCs w:val="26"/>
          <w:lang w:eastAsia="pl-PL"/>
        </w:rPr>
        <w:t>Numer grupy określonej w § 2</w:t>
      </w:r>
      <w:r w:rsidR="00321C59">
        <w:rPr>
          <w:rFonts w:ascii="Times New Roman" w:eastAsiaTheme="minorEastAsia" w:hAnsi="Times New Roman" w:cs="Times New Roman"/>
          <w:b/>
          <w:bCs/>
          <w:szCs w:val="26"/>
          <w:lang w:eastAsia="pl-PL"/>
        </w:rPr>
        <w:t>3</w:t>
      </w:r>
      <w:r w:rsidRPr="001B3426">
        <w:rPr>
          <w:rFonts w:ascii="Times New Roman" w:eastAsiaTheme="minorEastAsia" w:hAnsi="Times New Roman" w:cs="Times New Roman"/>
          <w:b/>
          <w:bCs/>
          <w:szCs w:val="26"/>
          <w:lang w:eastAsia="pl-PL"/>
        </w:rPr>
        <w:t>, do której przypisany jest podmiot: …………</w:t>
      </w:r>
    </w:p>
    <w:p w:rsidR="001B3426" w:rsidRPr="001B3426" w:rsidRDefault="001B3426" w:rsidP="001B3426">
      <w:pPr>
        <w:widowControl w:val="0"/>
        <w:autoSpaceDE w:val="0"/>
        <w:autoSpaceDN w:val="0"/>
        <w:adjustRightInd w:val="0"/>
        <w:spacing w:after="240" w:line="240" w:lineRule="auto"/>
        <w:jc w:val="both"/>
        <w:rPr>
          <w:rFonts w:ascii="Times New Roman" w:eastAsiaTheme="minorEastAsia" w:hAnsi="Times New Roman" w:cs="Times New Roman"/>
          <w:szCs w:val="26"/>
          <w:lang w:eastAsia="pl-PL"/>
        </w:rPr>
      </w:pPr>
    </w:p>
    <w:tbl>
      <w:tblPr>
        <w:tblW w:w="0" w:type="auto"/>
        <w:tblLayout w:type="fixed"/>
        <w:tblCellMar>
          <w:left w:w="70" w:type="dxa"/>
          <w:right w:w="70" w:type="dxa"/>
        </w:tblCellMar>
        <w:tblLook w:val="0000" w:firstRow="0" w:lastRow="0" w:firstColumn="0" w:lastColumn="0" w:noHBand="0" w:noVBand="0"/>
      </w:tblPr>
      <w:tblGrid>
        <w:gridCol w:w="779"/>
        <w:gridCol w:w="5670"/>
        <w:gridCol w:w="1985"/>
      </w:tblGrid>
      <w:tr w:rsidR="001B3426" w:rsidRPr="001B3426" w:rsidTr="0006281B">
        <w:tc>
          <w:tcPr>
            <w:tcW w:w="779"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b/>
                <w:bCs/>
                <w:sz w:val="18"/>
                <w:szCs w:val="23"/>
                <w:lang w:eastAsia="pl-PL"/>
              </w:rPr>
              <w:t>Poz.</w:t>
            </w:r>
          </w:p>
        </w:tc>
        <w:tc>
          <w:tcPr>
            <w:tcW w:w="5670"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4"/>
                <w:lang w:eastAsia="pl-PL"/>
              </w:rPr>
              <w:t xml:space="preserve"> </w:t>
            </w:r>
            <w:r w:rsidRPr="001B3426">
              <w:rPr>
                <w:rFonts w:ascii="Times New Roman" w:eastAsiaTheme="minorEastAsia" w:hAnsi="Times New Roman" w:cs="Times New Roman"/>
                <w:b/>
                <w:bCs/>
                <w:sz w:val="18"/>
                <w:szCs w:val="23"/>
                <w:lang w:eastAsia="pl-PL"/>
              </w:rPr>
              <w:t>Wyszczególnienie</w:t>
            </w:r>
          </w:p>
        </w:tc>
        <w:tc>
          <w:tcPr>
            <w:tcW w:w="1985"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jc w:val="center"/>
              <w:rPr>
                <w:rFonts w:ascii="Times New Roman" w:eastAsiaTheme="minorEastAsia" w:hAnsi="Times New Roman" w:cs="Times New Roman"/>
                <w:b/>
                <w:bCs/>
                <w:sz w:val="18"/>
                <w:szCs w:val="23"/>
                <w:lang w:eastAsia="pl-PL"/>
              </w:rPr>
            </w:pPr>
            <w:r w:rsidRPr="001B3426">
              <w:rPr>
                <w:rFonts w:ascii="Times New Roman" w:eastAsiaTheme="minorEastAsia" w:hAnsi="Times New Roman" w:cs="Times New Roman"/>
                <w:b/>
                <w:bCs/>
                <w:sz w:val="18"/>
                <w:szCs w:val="23"/>
                <w:lang w:eastAsia="pl-PL"/>
              </w:rPr>
              <w:t xml:space="preserve"> Dane, </w:t>
            </w:r>
            <w:r w:rsidRPr="001B3426">
              <w:rPr>
                <w:rFonts w:ascii="Times New Roman" w:eastAsiaTheme="minorEastAsia" w:hAnsi="Times New Roman" w:cs="Times New Roman"/>
                <w:b/>
                <w:bCs/>
                <w:sz w:val="18"/>
                <w:szCs w:val="23"/>
                <w:lang w:eastAsia="pl-PL"/>
              </w:rPr>
              <w:br/>
              <w:t xml:space="preserve">w tym kwoty </w:t>
            </w:r>
            <w:r w:rsidRPr="001B3426">
              <w:rPr>
                <w:rFonts w:ascii="Times New Roman" w:eastAsiaTheme="minorEastAsia" w:hAnsi="Times New Roman" w:cs="Times New Roman"/>
                <w:b/>
                <w:bCs/>
                <w:sz w:val="18"/>
                <w:szCs w:val="23"/>
                <w:lang w:eastAsia="pl-PL"/>
              </w:rPr>
              <w:br/>
              <w:t>w złotych</w:t>
            </w:r>
          </w:p>
        </w:tc>
      </w:tr>
      <w:tr w:rsidR="001B3426" w:rsidRPr="001B3426" w:rsidTr="0006281B">
        <w:tc>
          <w:tcPr>
            <w:tcW w:w="779"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1.</w:t>
            </w:r>
          </w:p>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p>
        </w:tc>
        <w:tc>
          <w:tcPr>
            <w:tcW w:w="5670"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jc w:val="both"/>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Kwota podstawy obliczenia należnej wpłaty za dany rok kalendarzowy.</w:t>
            </w:r>
          </w:p>
        </w:tc>
        <w:tc>
          <w:tcPr>
            <w:tcW w:w="1985"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 w:val="18"/>
                <w:szCs w:val="23"/>
                <w:lang w:eastAsia="pl-PL"/>
              </w:rPr>
            </w:pPr>
          </w:p>
        </w:tc>
      </w:tr>
      <w:tr w:rsidR="001B3426" w:rsidRPr="001B3426" w:rsidTr="0006281B">
        <w:tc>
          <w:tcPr>
            <w:tcW w:w="779"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2.</w:t>
            </w:r>
          </w:p>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p>
        </w:tc>
        <w:tc>
          <w:tcPr>
            <w:tcW w:w="5670"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jc w:val="both"/>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 xml:space="preserve">Kwota należnej od danego podmiotu opłaty za dany rok kalendarzowy </w:t>
            </w:r>
          </w:p>
        </w:tc>
        <w:tc>
          <w:tcPr>
            <w:tcW w:w="1985"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 w:val="18"/>
                <w:szCs w:val="23"/>
                <w:lang w:eastAsia="pl-PL"/>
              </w:rPr>
            </w:pPr>
          </w:p>
        </w:tc>
      </w:tr>
      <w:tr w:rsidR="001B3426" w:rsidRPr="001B3426" w:rsidTr="0006281B">
        <w:tc>
          <w:tcPr>
            <w:tcW w:w="779"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3.</w:t>
            </w:r>
          </w:p>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p>
        </w:tc>
        <w:tc>
          <w:tcPr>
            <w:tcW w:w="5670"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Kwota wpłaty dokonanej na rachunek Urzędu Komisji Nadzoru Finansowego</w:t>
            </w:r>
          </w:p>
        </w:tc>
        <w:tc>
          <w:tcPr>
            <w:tcW w:w="1985"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 w:val="18"/>
                <w:szCs w:val="23"/>
                <w:lang w:eastAsia="pl-PL"/>
              </w:rPr>
            </w:pPr>
          </w:p>
        </w:tc>
      </w:tr>
      <w:tr w:rsidR="001B3426" w:rsidRPr="001B3426" w:rsidTr="0006281B">
        <w:tc>
          <w:tcPr>
            <w:tcW w:w="779"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0" w:line="240" w:lineRule="auto"/>
              <w:jc w:val="center"/>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4.</w:t>
            </w:r>
          </w:p>
        </w:tc>
        <w:tc>
          <w:tcPr>
            <w:tcW w:w="5670"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before="120" w:after="120" w:line="240" w:lineRule="auto"/>
              <w:rPr>
                <w:rFonts w:ascii="Times New Roman" w:eastAsiaTheme="minorEastAsia" w:hAnsi="Times New Roman" w:cs="Times New Roman"/>
                <w:sz w:val="18"/>
                <w:szCs w:val="23"/>
                <w:lang w:eastAsia="pl-PL"/>
              </w:rPr>
            </w:pPr>
            <w:r w:rsidRPr="001B3426">
              <w:rPr>
                <w:rFonts w:ascii="Times New Roman" w:eastAsiaTheme="minorEastAsia" w:hAnsi="Times New Roman" w:cs="Times New Roman"/>
                <w:sz w:val="18"/>
                <w:szCs w:val="23"/>
                <w:lang w:eastAsia="pl-PL"/>
              </w:rPr>
              <w:t>Data wykonania przelewu, o którym mowa w poz. 3.</w:t>
            </w:r>
          </w:p>
        </w:tc>
        <w:tc>
          <w:tcPr>
            <w:tcW w:w="1985" w:type="dxa"/>
            <w:tcBorders>
              <w:top w:val="single" w:sz="6" w:space="0" w:color="auto"/>
              <w:left w:val="single" w:sz="6" w:space="0" w:color="auto"/>
              <w:bottom w:val="single" w:sz="6" w:space="0" w:color="auto"/>
              <w:right w:val="single" w:sz="6" w:space="0" w:color="auto"/>
            </w:tcBorders>
          </w:tcPr>
          <w:p w:rsidR="001B3426" w:rsidRPr="001B3426" w:rsidRDefault="001B3426" w:rsidP="001B3426">
            <w:pPr>
              <w:widowControl w:val="0"/>
              <w:autoSpaceDE w:val="0"/>
              <w:autoSpaceDN w:val="0"/>
              <w:adjustRightInd w:val="0"/>
              <w:spacing w:after="0" w:line="240" w:lineRule="auto"/>
              <w:jc w:val="both"/>
              <w:rPr>
                <w:rFonts w:ascii="Times New Roman" w:eastAsiaTheme="minorEastAsia" w:hAnsi="Times New Roman" w:cs="Times New Roman"/>
                <w:sz w:val="18"/>
                <w:szCs w:val="23"/>
                <w:lang w:eastAsia="pl-PL"/>
              </w:rPr>
            </w:pPr>
          </w:p>
        </w:tc>
      </w:tr>
    </w:tbl>
    <w:p w:rsidR="001B3426" w:rsidRPr="001B3426" w:rsidRDefault="001B3426" w:rsidP="001B3426">
      <w:pPr>
        <w:widowControl w:val="0"/>
        <w:tabs>
          <w:tab w:val="left" w:pos="6120"/>
        </w:tabs>
        <w:autoSpaceDE w:val="0"/>
        <w:autoSpaceDN w:val="0"/>
        <w:adjustRightInd w:val="0"/>
        <w:spacing w:before="240" w:after="0" w:line="240" w:lineRule="auto"/>
        <w:jc w:val="both"/>
        <w:rPr>
          <w:rFonts w:ascii="Times New Roman" w:eastAsiaTheme="minorEastAsia" w:hAnsi="Times New Roman" w:cs="Times New Roman"/>
          <w:b/>
          <w:bCs/>
          <w:sz w:val="2"/>
          <w:szCs w:val="26"/>
          <w:lang w:eastAsia="pl-PL"/>
        </w:rPr>
      </w:pPr>
    </w:p>
    <w:p w:rsidR="001B3426" w:rsidRPr="001B3426" w:rsidRDefault="001B3426" w:rsidP="001B3426">
      <w:pPr>
        <w:widowControl w:val="0"/>
        <w:tabs>
          <w:tab w:val="left" w:pos="6120"/>
        </w:tabs>
        <w:autoSpaceDE w:val="0"/>
        <w:autoSpaceDN w:val="0"/>
        <w:adjustRightInd w:val="0"/>
        <w:spacing w:after="0" w:line="240" w:lineRule="auto"/>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b/>
          <w:bCs/>
          <w:sz w:val="20"/>
          <w:szCs w:val="26"/>
          <w:lang w:eastAsia="pl-PL"/>
        </w:rPr>
        <w:t>Sporządził:</w:t>
      </w:r>
      <w:r w:rsidRPr="001B3426">
        <w:rPr>
          <w:rFonts w:ascii="Times New Roman" w:eastAsiaTheme="minorEastAsia" w:hAnsi="Times New Roman" w:cs="Times New Roman"/>
          <w:sz w:val="20"/>
          <w:szCs w:val="26"/>
          <w:vertAlign w:val="superscript"/>
          <w:lang w:eastAsia="pl-PL"/>
        </w:rPr>
        <w:t>1)</w:t>
      </w:r>
      <w:r w:rsidRPr="001B3426">
        <w:rPr>
          <w:rFonts w:ascii="Times New Roman" w:eastAsiaTheme="minorEastAsia" w:hAnsi="Times New Roman" w:cs="Times New Roman"/>
          <w:sz w:val="20"/>
          <w:szCs w:val="26"/>
          <w:lang w:eastAsia="pl-PL"/>
        </w:rPr>
        <w:tab/>
      </w:r>
      <w:r w:rsidRPr="001B3426">
        <w:rPr>
          <w:rFonts w:ascii="Times New Roman" w:eastAsiaTheme="minorEastAsia" w:hAnsi="Times New Roman" w:cs="Times New Roman"/>
          <w:b/>
          <w:bCs/>
          <w:sz w:val="20"/>
          <w:szCs w:val="26"/>
          <w:lang w:eastAsia="pl-PL"/>
        </w:rPr>
        <w:t>Zatwierdził:</w:t>
      </w:r>
      <w:r w:rsidRPr="001B3426">
        <w:rPr>
          <w:rFonts w:ascii="Times New Roman" w:eastAsiaTheme="minorEastAsia" w:hAnsi="Times New Roman" w:cs="Times New Roman"/>
          <w:sz w:val="20"/>
          <w:szCs w:val="26"/>
          <w:vertAlign w:val="superscript"/>
          <w:lang w:eastAsia="pl-PL"/>
        </w:rPr>
        <w:t>2)</w:t>
      </w:r>
    </w:p>
    <w:p w:rsidR="001B3426" w:rsidRPr="001B3426" w:rsidRDefault="001B3426" w:rsidP="001B3426">
      <w:pPr>
        <w:widowControl w:val="0"/>
        <w:tabs>
          <w:tab w:val="left" w:pos="6145"/>
        </w:tabs>
        <w:autoSpaceDE w:val="0"/>
        <w:autoSpaceDN w:val="0"/>
        <w:adjustRightInd w:val="0"/>
        <w:spacing w:before="240" w:after="0" w:line="240" w:lineRule="auto"/>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sz w:val="20"/>
          <w:szCs w:val="26"/>
          <w:lang w:eastAsia="pl-PL"/>
        </w:rPr>
        <w:t>..................................................</w:t>
      </w:r>
      <w:r w:rsidRPr="001B3426">
        <w:rPr>
          <w:rFonts w:ascii="Times New Roman" w:eastAsiaTheme="minorEastAsia" w:hAnsi="Times New Roman" w:cs="Times New Roman"/>
          <w:sz w:val="20"/>
          <w:szCs w:val="26"/>
          <w:lang w:eastAsia="pl-PL"/>
        </w:rPr>
        <w:tab/>
        <w:t>..................................................</w:t>
      </w:r>
    </w:p>
    <w:p w:rsidR="001B3426" w:rsidRPr="001B3426" w:rsidRDefault="001B3426" w:rsidP="001B3426">
      <w:pPr>
        <w:widowControl w:val="0"/>
        <w:tabs>
          <w:tab w:val="left" w:pos="6145"/>
        </w:tabs>
        <w:autoSpaceDE w:val="0"/>
        <w:autoSpaceDN w:val="0"/>
        <w:adjustRightInd w:val="0"/>
        <w:spacing w:after="0" w:line="240" w:lineRule="auto"/>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sz w:val="20"/>
          <w:szCs w:val="26"/>
          <w:lang w:eastAsia="pl-PL"/>
        </w:rPr>
        <w:t>(imię i nazwisko oraz numer telefonu</w:t>
      </w:r>
      <w:r w:rsidRPr="001B3426">
        <w:rPr>
          <w:rFonts w:ascii="Times New Roman" w:eastAsiaTheme="minorEastAsia" w:hAnsi="Times New Roman" w:cs="Times New Roman"/>
          <w:sz w:val="20"/>
          <w:szCs w:val="26"/>
          <w:lang w:eastAsia="pl-PL"/>
        </w:rPr>
        <w:tab/>
        <w:t>(imię i nazwisko oraz numer telefonu</w:t>
      </w:r>
    </w:p>
    <w:p w:rsidR="001B3426" w:rsidRPr="001B3426" w:rsidRDefault="001B3426" w:rsidP="001B3426">
      <w:pPr>
        <w:widowControl w:val="0"/>
        <w:tabs>
          <w:tab w:val="left" w:pos="6257"/>
        </w:tabs>
        <w:autoSpaceDE w:val="0"/>
        <w:autoSpaceDN w:val="0"/>
        <w:adjustRightInd w:val="0"/>
        <w:spacing w:after="0" w:line="240" w:lineRule="auto"/>
        <w:ind w:left="142"/>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sz w:val="20"/>
          <w:szCs w:val="26"/>
          <w:lang w:eastAsia="pl-PL"/>
        </w:rPr>
        <w:t>osoby sporządzającej informację)</w:t>
      </w:r>
      <w:r w:rsidRPr="001B3426">
        <w:rPr>
          <w:rFonts w:ascii="Times New Roman" w:eastAsiaTheme="minorEastAsia" w:hAnsi="Times New Roman" w:cs="Times New Roman"/>
          <w:sz w:val="20"/>
          <w:szCs w:val="26"/>
          <w:lang w:eastAsia="pl-PL"/>
        </w:rPr>
        <w:tab/>
        <w:t>osoby zatwierdzającej informację)</w:t>
      </w:r>
    </w:p>
    <w:p w:rsidR="001B3426" w:rsidRPr="001B3426" w:rsidRDefault="001B3426" w:rsidP="001B3426">
      <w:pPr>
        <w:widowControl w:val="0"/>
        <w:tabs>
          <w:tab w:val="left" w:pos="6145"/>
        </w:tabs>
        <w:autoSpaceDE w:val="0"/>
        <w:autoSpaceDN w:val="0"/>
        <w:adjustRightInd w:val="0"/>
        <w:spacing w:before="240" w:after="0" w:line="240" w:lineRule="auto"/>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sz w:val="20"/>
          <w:szCs w:val="26"/>
          <w:lang w:eastAsia="pl-PL"/>
        </w:rPr>
        <w:t>..................................................</w:t>
      </w:r>
      <w:r w:rsidRPr="001B3426">
        <w:rPr>
          <w:rFonts w:ascii="Times New Roman" w:eastAsiaTheme="minorEastAsia" w:hAnsi="Times New Roman" w:cs="Times New Roman"/>
          <w:sz w:val="20"/>
          <w:szCs w:val="26"/>
          <w:lang w:eastAsia="pl-PL"/>
        </w:rPr>
        <w:tab/>
        <w:t>..................................................</w:t>
      </w:r>
    </w:p>
    <w:p w:rsidR="001B3426" w:rsidRPr="001B3426" w:rsidRDefault="001B3426" w:rsidP="001B3426">
      <w:pPr>
        <w:widowControl w:val="0"/>
        <w:tabs>
          <w:tab w:val="left" w:pos="6803"/>
        </w:tabs>
        <w:autoSpaceDE w:val="0"/>
        <w:autoSpaceDN w:val="0"/>
        <w:adjustRightInd w:val="0"/>
        <w:spacing w:after="0" w:line="240" w:lineRule="auto"/>
        <w:ind w:left="426"/>
        <w:jc w:val="both"/>
        <w:rPr>
          <w:rFonts w:ascii="Times New Roman" w:eastAsiaTheme="minorEastAsia" w:hAnsi="Times New Roman" w:cs="Times New Roman"/>
          <w:sz w:val="20"/>
          <w:szCs w:val="26"/>
          <w:lang w:eastAsia="pl-PL"/>
        </w:rPr>
      </w:pPr>
      <w:r w:rsidRPr="001B3426">
        <w:rPr>
          <w:rFonts w:ascii="Times New Roman" w:eastAsiaTheme="minorEastAsia" w:hAnsi="Times New Roman" w:cs="Times New Roman"/>
          <w:sz w:val="20"/>
          <w:szCs w:val="26"/>
          <w:lang w:eastAsia="pl-PL"/>
        </w:rPr>
        <w:t>(pieczątka i podpis)</w:t>
      </w:r>
      <w:r w:rsidRPr="001B3426">
        <w:rPr>
          <w:rFonts w:ascii="Times New Roman" w:eastAsiaTheme="minorEastAsia" w:hAnsi="Times New Roman" w:cs="Times New Roman"/>
          <w:sz w:val="20"/>
          <w:szCs w:val="26"/>
          <w:lang w:eastAsia="pl-PL"/>
        </w:rPr>
        <w:tab/>
        <w:t>(pieczątka i podpis)</w:t>
      </w:r>
    </w:p>
    <w:p w:rsidR="001B3426" w:rsidRPr="001B3426" w:rsidRDefault="001B3426" w:rsidP="001B3426">
      <w:pPr>
        <w:widowControl w:val="0"/>
        <w:autoSpaceDE w:val="0"/>
        <w:autoSpaceDN w:val="0"/>
        <w:adjustRightInd w:val="0"/>
        <w:spacing w:before="240" w:after="0" w:line="240" w:lineRule="auto"/>
        <w:jc w:val="both"/>
        <w:rPr>
          <w:rFonts w:ascii="Times New Roman" w:eastAsiaTheme="minorEastAsia" w:hAnsi="Times New Roman" w:cs="Times New Roman"/>
          <w:szCs w:val="26"/>
          <w:lang w:eastAsia="pl-PL"/>
        </w:rPr>
      </w:pPr>
      <w:r w:rsidRPr="001B3426">
        <w:rPr>
          <w:rFonts w:ascii="Times New Roman" w:eastAsiaTheme="minorEastAsia" w:hAnsi="Times New Roman" w:cs="Times New Roman"/>
          <w:szCs w:val="26"/>
          <w:lang w:eastAsia="pl-PL"/>
        </w:rPr>
        <w:t>___</w:t>
      </w:r>
    </w:p>
    <w:p w:rsidR="001B3426" w:rsidRPr="001B3426" w:rsidRDefault="001B3426" w:rsidP="001B3426">
      <w:pPr>
        <w:widowControl w:val="0"/>
        <w:tabs>
          <w:tab w:val="left" w:pos="154"/>
        </w:tabs>
        <w:autoSpaceDE w:val="0"/>
        <w:autoSpaceDN w:val="0"/>
        <w:adjustRightInd w:val="0"/>
        <w:spacing w:after="0" w:line="240" w:lineRule="auto"/>
        <w:ind w:left="154" w:hanging="154"/>
        <w:jc w:val="both"/>
        <w:rPr>
          <w:rFonts w:ascii="Times New Roman" w:eastAsiaTheme="minorEastAsia" w:hAnsi="Times New Roman" w:cs="Times New Roman"/>
          <w:sz w:val="18"/>
          <w:szCs w:val="26"/>
          <w:lang w:eastAsia="pl-PL"/>
        </w:rPr>
      </w:pPr>
      <w:r w:rsidRPr="001B3426">
        <w:rPr>
          <w:rFonts w:ascii="Times New Roman" w:eastAsiaTheme="minorEastAsia" w:hAnsi="Times New Roman" w:cs="Times New Roman"/>
          <w:sz w:val="18"/>
          <w:szCs w:val="26"/>
          <w:vertAlign w:val="superscript"/>
          <w:lang w:eastAsia="pl-PL"/>
        </w:rPr>
        <w:t>1)</w:t>
      </w:r>
      <w:r w:rsidRPr="001B3426">
        <w:rPr>
          <w:rFonts w:ascii="Times New Roman" w:eastAsiaTheme="minorEastAsia" w:hAnsi="Times New Roman" w:cs="Times New Roman"/>
          <w:sz w:val="18"/>
          <w:szCs w:val="26"/>
          <w:lang w:eastAsia="pl-PL"/>
        </w:rPr>
        <w:tab/>
        <w:t>W przypadku składania informacji w postaci dokumentu elektronicznego wskazuje się imię i nazwisko osoby sporządzającej; podpis tej osoby nie jest wymagany.</w:t>
      </w:r>
    </w:p>
    <w:p w:rsidR="001B3426" w:rsidRPr="001B3426" w:rsidRDefault="001B3426" w:rsidP="001B3426">
      <w:pPr>
        <w:widowControl w:val="0"/>
        <w:tabs>
          <w:tab w:val="left" w:pos="154"/>
        </w:tabs>
        <w:autoSpaceDE w:val="0"/>
        <w:autoSpaceDN w:val="0"/>
        <w:adjustRightInd w:val="0"/>
        <w:spacing w:after="0" w:line="240" w:lineRule="auto"/>
        <w:ind w:left="154" w:hanging="154"/>
        <w:jc w:val="both"/>
        <w:rPr>
          <w:rFonts w:ascii="Times New Roman" w:eastAsiaTheme="minorEastAsia" w:hAnsi="Times New Roman" w:cs="Times New Roman"/>
          <w:sz w:val="18"/>
          <w:szCs w:val="26"/>
          <w:lang w:eastAsia="pl-PL"/>
        </w:rPr>
      </w:pPr>
      <w:r w:rsidRPr="001B3426">
        <w:rPr>
          <w:rFonts w:ascii="Times New Roman" w:eastAsiaTheme="minorEastAsia" w:hAnsi="Times New Roman" w:cs="Times New Roman"/>
          <w:sz w:val="18"/>
          <w:szCs w:val="26"/>
          <w:vertAlign w:val="superscript"/>
          <w:lang w:eastAsia="pl-PL"/>
        </w:rPr>
        <w:t>2)</w:t>
      </w:r>
      <w:r w:rsidRPr="001B3426">
        <w:rPr>
          <w:rFonts w:ascii="Times New Roman" w:eastAsiaTheme="minorEastAsia" w:hAnsi="Times New Roman" w:cs="Times New Roman"/>
          <w:sz w:val="18"/>
          <w:szCs w:val="26"/>
          <w:lang w:eastAsia="pl-PL"/>
        </w:rPr>
        <w:tab/>
        <w:t xml:space="preserve">W przypadku składania informacji w postaci dokumentu elektronicznego wskazuje się imię i nazwisko osoby zatwierdzającej, a dokument zostaje podpisany przez tę osobę podpisem potwierdzonym profilem zaufanym </w:t>
      </w:r>
      <w:proofErr w:type="spellStart"/>
      <w:r w:rsidRPr="001B3426">
        <w:rPr>
          <w:rFonts w:ascii="Times New Roman" w:eastAsiaTheme="minorEastAsia" w:hAnsi="Times New Roman" w:cs="Times New Roman"/>
          <w:sz w:val="18"/>
          <w:szCs w:val="26"/>
          <w:lang w:eastAsia="pl-PL"/>
        </w:rPr>
        <w:t>ePUAP</w:t>
      </w:r>
      <w:proofErr w:type="spellEnd"/>
      <w:r w:rsidRPr="001B3426">
        <w:rPr>
          <w:rFonts w:ascii="Times New Roman" w:eastAsiaTheme="minorEastAsia" w:hAnsi="Times New Roman" w:cs="Times New Roman"/>
          <w:sz w:val="18"/>
          <w:szCs w:val="26"/>
          <w:lang w:eastAsia="pl-PL"/>
        </w:rPr>
        <w:t xml:space="preserve"> lub bezpiecznym podpisem elektronicznym weryfikowanym przy pomocy kwalifikowanego certyfikatu.</w:t>
      </w:r>
    </w:p>
    <w:p w:rsidR="00391DC6" w:rsidRDefault="00391DC6"/>
    <w:sectPr w:rsidR="00391DC6">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AD" w:rsidRDefault="00FF13AD" w:rsidP="001B3426">
      <w:pPr>
        <w:spacing w:after="0" w:line="240" w:lineRule="auto"/>
      </w:pPr>
      <w:r>
        <w:separator/>
      </w:r>
    </w:p>
  </w:endnote>
  <w:endnote w:type="continuationSeparator" w:id="0">
    <w:p w:rsidR="00FF13AD" w:rsidRDefault="00FF13AD" w:rsidP="001B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57054"/>
      <w:docPartObj>
        <w:docPartGallery w:val="Page Numbers (Bottom of Page)"/>
        <w:docPartUnique/>
      </w:docPartObj>
    </w:sdtPr>
    <w:sdtEndPr>
      <w:rPr>
        <w:rFonts w:ascii="Times New Roman" w:hAnsi="Times New Roman" w:cs="Times New Roman"/>
      </w:rPr>
    </w:sdtEndPr>
    <w:sdtContent>
      <w:p w:rsidR="00FF13AD" w:rsidRPr="006C3C0A" w:rsidRDefault="00FF13AD">
        <w:pPr>
          <w:pStyle w:val="Stopka"/>
          <w:jc w:val="right"/>
          <w:rPr>
            <w:rFonts w:ascii="Times New Roman" w:hAnsi="Times New Roman" w:cs="Times New Roman"/>
          </w:rPr>
        </w:pPr>
        <w:r w:rsidRPr="006C3C0A">
          <w:rPr>
            <w:rFonts w:ascii="Times New Roman" w:hAnsi="Times New Roman" w:cs="Times New Roman"/>
          </w:rPr>
          <w:fldChar w:fldCharType="begin"/>
        </w:r>
        <w:r w:rsidRPr="006C3C0A">
          <w:rPr>
            <w:rFonts w:ascii="Times New Roman" w:hAnsi="Times New Roman" w:cs="Times New Roman"/>
          </w:rPr>
          <w:instrText>PAGE   \* MERGEFORMAT</w:instrText>
        </w:r>
        <w:r w:rsidRPr="006C3C0A">
          <w:rPr>
            <w:rFonts w:ascii="Times New Roman" w:hAnsi="Times New Roman" w:cs="Times New Roman"/>
          </w:rPr>
          <w:fldChar w:fldCharType="separate"/>
        </w:r>
        <w:r w:rsidR="003F3157">
          <w:rPr>
            <w:rFonts w:ascii="Times New Roman" w:hAnsi="Times New Roman" w:cs="Times New Roman"/>
            <w:noProof/>
          </w:rPr>
          <w:t>1</w:t>
        </w:r>
        <w:r w:rsidRPr="006C3C0A">
          <w:rPr>
            <w:rFonts w:ascii="Times New Roman" w:hAnsi="Times New Roman" w:cs="Times New Roman"/>
          </w:rPr>
          <w:fldChar w:fldCharType="end"/>
        </w:r>
      </w:p>
    </w:sdtContent>
  </w:sdt>
  <w:p w:rsidR="00FF13AD" w:rsidRDefault="00FF13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AD" w:rsidRDefault="00FF13AD" w:rsidP="001B3426">
      <w:pPr>
        <w:spacing w:after="0" w:line="240" w:lineRule="auto"/>
      </w:pPr>
      <w:r>
        <w:separator/>
      </w:r>
    </w:p>
  </w:footnote>
  <w:footnote w:type="continuationSeparator" w:id="0">
    <w:p w:rsidR="00FF13AD" w:rsidRDefault="00FF13AD" w:rsidP="001B3426">
      <w:pPr>
        <w:spacing w:after="0" w:line="240" w:lineRule="auto"/>
      </w:pPr>
      <w:r>
        <w:continuationSeparator/>
      </w:r>
    </w:p>
  </w:footnote>
  <w:footnote w:id="1">
    <w:p w:rsidR="00FF13AD" w:rsidRPr="00230EA3" w:rsidRDefault="00FF13AD" w:rsidP="001B3426">
      <w:pPr>
        <w:ind w:left="142" w:hanging="142"/>
        <w:jc w:val="both"/>
        <w:rPr>
          <w:rFonts w:ascii="Times New Roman" w:eastAsia="Times New Roman" w:hAnsi="Times New Roman" w:cs="Times New Roman"/>
          <w:color w:val="000000"/>
          <w:sz w:val="20"/>
          <w:szCs w:val="20"/>
          <w:lang w:eastAsia="pl-PL"/>
        </w:rPr>
      </w:pPr>
      <w:r w:rsidRPr="00230EA3">
        <w:rPr>
          <w:rStyle w:val="Odwoanieprzypisudolnego"/>
          <w:rFonts w:ascii="Times New Roman" w:hAnsi="Times New Roman" w:cs="Times New Roman"/>
        </w:rPr>
        <w:t>1)</w:t>
      </w:r>
      <w:r w:rsidRPr="00230EA3">
        <w:rPr>
          <w:rFonts w:ascii="Times New Roman" w:hAnsi="Times New Roman" w:cs="Times New Roman"/>
          <w:sz w:val="20"/>
          <w:szCs w:val="20"/>
        </w:rPr>
        <w:t xml:space="preserve"> </w:t>
      </w:r>
      <w:r w:rsidRPr="00230EA3">
        <w:rPr>
          <w:rFonts w:ascii="Times New Roman" w:eastAsia="Times New Roman" w:hAnsi="Times New Roman" w:cs="Times New Roman"/>
          <w:color w:val="000000"/>
          <w:sz w:val="20"/>
          <w:szCs w:val="20"/>
          <w:lang w:eastAsia="pl-PL"/>
        </w:rPr>
        <w:t xml:space="preserve">Minister Finansów kieruje działem administracji rządowej - instytucje finansowe, na podstawie </w:t>
      </w:r>
      <w:r w:rsidRPr="00230EA3">
        <w:rPr>
          <w:rFonts w:ascii="Times New Roman" w:eastAsia="Times New Roman" w:hAnsi="Times New Roman" w:cs="Times New Roman"/>
          <w:sz w:val="20"/>
          <w:szCs w:val="20"/>
          <w:lang w:eastAsia="pl-PL"/>
        </w:rPr>
        <w:t xml:space="preserve">§ 1 ust. 2 pkt 3 </w:t>
      </w:r>
      <w:r w:rsidRPr="00230EA3">
        <w:rPr>
          <w:rFonts w:ascii="Times New Roman" w:eastAsia="Times New Roman" w:hAnsi="Times New Roman" w:cs="Times New Roman"/>
          <w:color w:val="000000"/>
          <w:sz w:val="20"/>
          <w:szCs w:val="20"/>
          <w:lang w:eastAsia="pl-PL"/>
        </w:rPr>
        <w:t>rozporządzenia Prezesa Rady Ministrów z dnia 18 listopada 2011 r. w sprawie szczegółowego zakresu działania Ministra Finansów (Dz. U. Nr 248, poz. 1481).</w:t>
      </w:r>
    </w:p>
    <w:p w:rsidR="00FF13AD" w:rsidRDefault="00FF13AD" w:rsidP="001B342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46A"/>
    <w:multiLevelType w:val="hybridMultilevel"/>
    <w:tmpl w:val="0AB0749E"/>
    <w:lvl w:ilvl="0" w:tplc="4CDCF38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5A3A74"/>
    <w:multiLevelType w:val="hybridMultilevel"/>
    <w:tmpl w:val="2C46FD42"/>
    <w:lvl w:ilvl="0" w:tplc="DED639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7C6050"/>
    <w:multiLevelType w:val="hybridMultilevel"/>
    <w:tmpl w:val="B680F4EE"/>
    <w:lvl w:ilvl="0" w:tplc="6170A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8D4F2F"/>
    <w:multiLevelType w:val="hybridMultilevel"/>
    <w:tmpl w:val="5C5EF340"/>
    <w:lvl w:ilvl="0" w:tplc="C64CE6C2">
      <w:start w:val="1"/>
      <w:numFmt w:val="decimal"/>
      <w:lvlText w:val="%1)"/>
      <w:lvlJc w:val="left"/>
      <w:pPr>
        <w:ind w:left="786" w:hanging="360"/>
      </w:pPr>
      <w:rPr>
        <w:rFonts w:eastAsia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4F0E22"/>
    <w:multiLevelType w:val="hybridMultilevel"/>
    <w:tmpl w:val="645C8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461D45"/>
    <w:multiLevelType w:val="hybridMultilevel"/>
    <w:tmpl w:val="951CDAFA"/>
    <w:lvl w:ilvl="0" w:tplc="5C96826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EC25F02"/>
    <w:multiLevelType w:val="hybridMultilevel"/>
    <w:tmpl w:val="8A6A68AE"/>
    <w:lvl w:ilvl="0" w:tplc="8F38BD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0EF57EE1"/>
    <w:multiLevelType w:val="hybridMultilevel"/>
    <w:tmpl w:val="6FD47C9A"/>
    <w:lvl w:ilvl="0" w:tplc="04150011">
      <w:start w:val="1"/>
      <w:numFmt w:val="decimal"/>
      <w:lvlText w:val="%1)"/>
      <w:lvlJc w:val="left"/>
      <w:pPr>
        <w:ind w:left="1260" w:hanging="360"/>
      </w:pPr>
    </w:lvl>
    <w:lvl w:ilvl="1" w:tplc="C330C3AC">
      <w:start w:val="1"/>
      <w:numFmt w:val="lowerLetter"/>
      <w:lvlText w:val="%2)"/>
      <w:lvlJc w:val="left"/>
      <w:pPr>
        <w:ind w:left="2490" w:hanging="87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nsid w:val="105133F9"/>
    <w:multiLevelType w:val="hybridMultilevel"/>
    <w:tmpl w:val="12C22368"/>
    <w:lvl w:ilvl="0" w:tplc="5B4E4F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C362D1"/>
    <w:multiLevelType w:val="hybridMultilevel"/>
    <w:tmpl w:val="4746C834"/>
    <w:lvl w:ilvl="0" w:tplc="CABC17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0B45302"/>
    <w:multiLevelType w:val="hybridMultilevel"/>
    <w:tmpl w:val="A10A87E4"/>
    <w:lvl w:ilvl="0" w:tplc="C40CB8E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7FF0D92"/>
    <w:multiLevelType w:val="hybridMultilevel"/>
    <w:tmpl w:val="541ABB36"/>
    <w:lvl w:ilvl="0" w:tplc="E39C8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9A72DC4"/>
    <w:multiLevelType w:val="hybridMultilevel"/>
    <w:tmpl w:val="936E476A"/>
    <w:lvl w:ilvl="0" w:tplc="FB20C0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BB7185"/>
    <w:multiLevelType w:val="hybridMultilevel"/>
    <w:tmpl w:val="4724AF26"/>
    <w:lvl w:ilvl="0" w:tplc="D8E8F6DE">
      <w:start w:val="1"/>
      <w:numFmt w:val="decimal"/>
      <w:lvlText w:val="%1)"/>
      <w:lvlJc w:val="left"/>
      <w:pPr>
        <w:ind w:left="1509" w:hanging="37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C4E5ABE"/>
    <w:multiLevelType w:val="hybridMultilevel"/>
    <w:tmpl w:val="69A0AD58"/>
    <w:lvl w:ilvl="0" w:tplc="1E90C7C6">
      <w:start w:val="1"/>
      <w:numFmt w:val="decimal"/>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5">
    <w:nsid w:val="314429EE"/>
    <w:multiLevelType w:val="hybridMultilevel"/>
    <w:tmpl w:val="E416D84C"/>
    <w:lvl w:ilvl="0" w:tplc="AE0238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85785C"/>
    <w:multiLevelType w:val="hybridMultilevel"/>
    <w:tmpl w:val="0FC6A042"/>
    <w:lvl w:ilvl="0" w:tplc="7144D4A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264DA1"/>
    <w:multiLevelType w:val="hybridMultilevel"/>
    <w:tmpl w:val="E3BA0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B557A1"/>
    <w:multiLevelType w:val="hybridMultilevel"/>
    <w:tmpl w:val="0330A0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E3133B"/>
    <w:multiLevelType w:val="hybridMultilevel"/>
    <w:tmpl w:val="61682A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F624FC"/>
    <w:multiLevelType w:val="hybridMultilevel"/>
    <w:tmpl w:val="3252EA72"/>
    <w:lvl w:ilvl="0" w:tplc="880EE546">
      <w:start w:val="1"/>
      <w:numFmt w:val="bullet"/>
      <w:lvlText w:val=""/>
      <w:lvlJc w:val="left"/>
      <w:pPr>
        <w:ind w:left="1495" w:hanging="360"/>
      </w:pPr>
      <w:rPr>
        <w:rFonts w:ascii="Symbol" w:hAnsi="Symbol" w:hint="default"/>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1">
    <w:nsid w:val="3B323D54"/>
    <w:multiLevelType w:val="hybridMultilevel"/>
    <w:tmpl w:val="B308CE5A"/>
    <w:lvl w:ilvl="0" w:tplc="BC2EE39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D1D4F8A"/>
    <w:multiLevelType w:val="hybridMultilevel"/>
    <w:tmpl w:val="60782F7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404F4BD9"/>
    <w:multiLevelType w:val="hybridMultilevel"/>
    <w:tmpl w:val="50CE5810"/>
    <w:lvl w:ilvl="0" w:tplc="3B104360">
      <w:start w:val="1"/>
      <w:numFmt w:val="decimal"/>
      <w:lvlText w:val="%1)"/>
      <w:lvlJc w:val="left"/>
      <w:pPr>
        <w:ind w:left="1062" w:hanging="375"/>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4">
    <w:nsid w:val="40FA001E"/>
    <w:multiLevelType w:val="hybridMultilevel"/>
    <w:tmpl w:val="0832C788"/>
    <w:lvl w:ilvl="0" w:tplc="4A8C593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42841634"/>
    <w:multiLevelType w:val="hybridMultilevel"/>
    <w:tmpl w:val="FA008744"/>
    <w:lvl w:ilvl="0" w:tplc="2D8471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44D755D"/>
    <w:multiLevelType w:val="hybridMultilevel"/>
    <w:tmpl w:val="4176DB50"/>
    <w:lvl w:ilvl="0" w:tplc="7026D6BA">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610168D"/>
    <w:multiLevelType w:val="hybridMultilevel"/>
    <w:tmpl w:val="B53083D0"/>
    <w:lvl w:ilvl="0" w:tplc="ED4E86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66F5F0E"/>
    <w:multiLevelType w:val="hybridMultilevel"/>
    <w:tmpl w:val="4E129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6398D"/>
    <w:multiLevelType w:val="hybridMultilevel"/>
    <w:tmpl w:val="A10A87E4"/>
    <w:lvl w:ilvl="0" w:tplc="C40CB8E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47D74FE7"/>
    <w:multiLevelType w:val="hybridMultilevel"/>
    <w:tmpl w:val="A1C0AC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B82F3E"/>
    <w:multiLevelType w:val="hybridMultilevel"/>
    <w:tmpl w:val="33B8A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48072C"/>
    <w:multiLevelType w:val="hybridMultilevel"/>
    <w:tmpl w:val="FB488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F61922"/>
    <w:multiLevelType w:val="hybridMultilevel"/>
    <w:tmpl w:val="C0983410"/>
    <w:lvl w:ilvl="0" w:tplc="BF10452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9CD61D5"/>
    <w:multiLevelType w:val="hybridMultilevel"/>
    <w:tmpl w:val="40D8F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2D5A53"/>
    <w:multiLevelType w:val="hybridMultilevel"/>
    <w:tmpl w:val="62A836A4"/>
    <w:lvl w:ilvl="0" w:tplc="A7B2D57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19E3B01"/>
    <w:multiLevelType w:val="hybridMultilevel"/>
    <w:tmpl w:val="7D468AE8"/>
    <w:lvl w:ilvl="0" w:tplc="562E982A">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C0F5956"/>
    <w:multiLevelType w:val="hybridMultilevel"/>
    <w:tmpl w:val="81D8DD28"/>
    <w:lvl w:ilvl="0" w:tplc="B2D07DA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DCC0285"/>
    <w:multiLevelType w:val="hybridMultilevel"/>
    <w:tmpl w:val="10700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2FAB"/>
    <w:multiLevelType w:val="hybridMultilevel"/>
    <w:tmpl w:val="5A700F76"/>
    <w:lvl w:ilvl="0" w:tplc="4C361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54100D4"/>
    <w:multiLevelType w:val="hybridMultilevel"/>
    <w:tmpl w:val="C81A0526"/>
    <w:lvl w:ilvl="0" w:tplc="0B6EB6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9B85812"/>
    <w:multiLevelType w:val="hybridMultilevel"/>
    <w:tmpl w:val="C7826164"/>
    <w:lvl w:ilvl="0" w:tplc="8C4CE244">
      <w:start w:val="1"/>
      <w:numFmt w:val="decimal"/>
      <w:lvlText w:val="%1)"/>
      <w:lvlJc w:val="left"/>
      <w:pPr>
        <w:ind w:left="1101" w:hanging="6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32"/>
  </w:num>
  <w:num w:numId="3">
    <w:abstractNumId w:val="4"/>
  </w:num>
  <w:num w:numId="4">
    <w:abstractNumId w:val="19"/>
  </w:num>
  <w:num w:numId="5">
    <w:abstractNumId w:val="36"/>
  </w:num>
  <w:num w:numId="6">
    <w:abstractNumId w:val="6"/>
  </w:num>
  <w:num w:numId="7">
    <w:abstractNumId w:val="5"/>
  </w:num>
  <w:num w:numId="8">
    <w:abstractNumId w:val="11"/>
  </w:num>
  <w:num w:numId="9">
    <w:abstractNumId w:val="14"/>
  </w:num>
  <w:num w:numId="10">
    <w:abstractNumId w:val="40"/>
  </w:num>
  <w:num w:numId="11">
    <w:abstractNumId w:val="27"/>
  </w:num>
  <w:num w:numId="12">
    <w:abstractNumId w:val="0"/>
  </w:num>
  <w:num w:numId="13">
    <w:abstractNumId w:val="10"/>
  </w:num>
  <w:num w:numId="14">
    <w:abstractNumId w:val="24"/>
  </w:num>
  <w:num w:numId="15">
    <w:abstractNumId w:val="9"/>
  </w:num>
  <w:num w:numId="16">
    <w:abstractNumId w:val="7"/>
  </w:num>
  <w:num w:numId="17">
    <w:abstractNumId w:val="22"/>
  </w:num>
  <w:num w:numId="18">
    <w:abstractNumId w:val="33"/>
  </w:num>
  <w:num w:numId="19">
    <w:abstractNumId w:val="38"/>
  </w:num>
  <w:num w:numId="20">
    <w:abstractNumId w:val="12"/>
  </w:num>
  <w:num w:numId="21">
    <w:abstractNumId w:val="25"/>
  </w:num>
  <w:num w:numId="22">
    <w:abstractNumId w:val="2"/>
  </w:num>
  <w:num w:numId="23">
    <w:abstractNumId w:val="30"/>
  </w:num>
  <w:num w:numId="24">
    <w:abstractNumId w:val="1"/>
  </w:num>
  <w:num w:numId="25">
    <w:abstractNumId w:val="28"/>
  </w:num>
  <w:num w:numId="26">
    <w:abstractNumId w:val="18"/>
  </w:num>
  <w:num w:numId="27">
    <w:abstractNumId w:val="35"/>
  </w:num>
  <w:num w:numId="28">
    <w:abstractNumId w:val="20"/>
  </w:num>
  <w:num w:numId="29">
    <w:abstractNumId w:val="21"/>
  </w:num>
  <w:num w:numId="30">
    <w:abstractNumId w:val="37"/>
  </w:num>
  <w:num w:numId="31">
    <w:abstractNumId w:val="15"/>
  </w:num>
  <w:num w:numId="32">
    <w:abstractNumId w:val="26"/>
  </w:num>
  <w:num w:numId="33">
    <w:abstractNumId w:val="17"/>
  </w:num>
  <w:num w:numId="34">
    <w:abstractNumId w:val="3"/>
  </w:num>
  <w:num w:numId="35">
    <w:abstractNumId w:val="39"/>
  </w:num>
  <w:num w:numId="36">
    <w:abstractNumId w:val="16"/>
  </w:num>
  <w:num w:numId="37">
    <w:abstractNumId w:val="8"/>
  </w:num>
  <w:num w:numId="38">
    <w:abstractNumId w:val="29"/>
  </w:num>
  <w:num w:numId="39">
    <w:abstractNumId w:val="13"/>
  </w:num>
  <w:num w:numId="40">
    <w:abstractNumId w:val="31"/>
  </w:num>
  <w:num w:numId="41">
    <w:abstractNumId w:val="4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26"/>
    <w:rsid w:val="0006281B"/>
    <w:rsid w:val="00071C01"/>
    <w:rsid w:val="00076ED2"/>
    <w:rsid w:val="00086AD2"/>
    <w:rsid w:val="000A4DAD"/>
    <w:rsid w:val="00101F06"/>
    <w:rsid w:val="00157A2C"/>
    <w:rsid w:val="001B3426"/>
    <w:rsid w:val="001C5E03"/>
    <w:rsid w:val="001F0873"/>
    <w:rsid w:val="002A0EFC"/>
    <w:rsid w:val="002D4FE5"/>
    <w:rsid w:val="00321C59"/>
    <w:rsid w:val="00374F70"/>
    <w:rsid w:val="00377560"/>
    <w:rsid w:val="00391DC6"/>
    <w:rsid w:val="003B06A7"/>
    <w:rsid w:val="003E18D4"/>
    <w:rsid w:val="003F3157"/>
    <w:rsid w:val="00423102"/>
    <w:rsid w:val="00465F36"/>
    <w:rsid w:val="00595E62"/>
    <w:rsid w:val="005D2FF6"/>
    <w:rsid w:val="006531F4"/>
    <w:rsid w:val="0065513F"/>
    <w:rsid w:val="00820B39"/>
    <w:rsid w:val="00835DBE"/>
    <w:rsid w:val="00844CC4"/>
    <w:rsid w:val="00871583"/>
    <w:rsid w:val="008B7B85"/>
    <w:rsid w:val="009060BD"/>
    <w:rsid w:val="00923C48"/>
    <w:rsid w:val="00B02256"/>
    <w:rsid w:val="00B50404"/>
    <w:rsid w:val="00C06ACE"/>
    <w:rsid w:val="00C27AE3"/>
    <w:rsid w:val="00C9173C"/>
    <w:rsid w:val="00CA377E"/>
    <w:rsid w:val="00CB2ED2"/>
    <w:rsid w:val="00CF44AC"/>
    <w:rsid w:val="00D10C90"/>
    <w:rsid w:val="00D37ED3"/>
    <w:rsid w:val="00D41BDA"/>
    <w:rsid w:val="00E246C9"/>
    <w:rsid w:val="00EA33B2"/>
    <w:rsid w:val="00EE4218"/>
    <w:rsid w:val="00EF1CEF"/>
    <w:rsid w:val="00F41804"/>
    <w:rsid w:val="00F44FE2"/>
    <w:rsid w:val="00FB63AE"/>
    <w:rsid w:val="00FE7946"/>
    <w:rsid w:val="00FF1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B3426"/>
  </w:style>
  <w:style w:type="paragraph" w:styleId="Tekstprzypisukocowego">
    <w:name w:val="endnote text"/>
    <w:basedOn w:val="Normalny"/>
    <w:link w:val="TekstprzypisukocowegoZnak"/>
    <w:uiPriority w:val="99"/>
    <w:semiHidden/>
    <w:unhideWhenUsed/>
    <w:rsid w:val="001B34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3426"/>
    <w:rPr>
      <w:sz w:val="20"/>
      <w:szCs w:val="20"/>
    </w:rPr>
  </w:style>
  <w:style w:type="character" w:styleId="Odwoanieprzypisukocowego">
    <w:name w:val="endnote reference"/>
    <w:basedOn w:val="Domylnaczcionkaakapitu"/>
    <w:uiPriority w:val="99"/>
    <w:semiHidden/>
    <w:unhideWhenUsed/>
    <w:rsid w:val="001B3426"/>
    <w:rPr>
      <w:vertAlign w:val="superscript"/>
    </w:rPr>
  </w:style>
  <w:style w:type="paragraph" w:styleId="Akapitzlist">
    <w:name w:val="List Paragraph"/>
    <w:basedOn w:val="Normalny"/>
    <w:uiPriority w:val="34"/>
    <w:qFormat/>
    <w:rsid w:val="001B3426"/>
    <w:pPr>
      <w:ind w:left="720"/>
      <w:contextualSpacing/>
    </w:pPr>
  </w:style>
  <w:style w:type="character" w:customStyle="1" w:styleId="tabulatory1">
    <w:name w:val="tabulatory1"/>
    <w:basedOn w:val="Domylnaczcionkaakapitu"/>
    <w:rsid w:val="001B3426"/>
  </w:style>
  <w:style w:type="paragraph" w:styleId="Nagwek">
    <w:name w:val="header"/>
    <w:basedOn w:val="Normalny"/>
    <w:link w:val="NagwekZnak"/>
    <w:uiPriority w:val="99"/>
    <w:unhideWhenUsed/>
    <w:rsid w:val="001B3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426"/>
  </w:style>
  <w:style w:type="paragraph" w:styleId="Stopka">
    <w:name w:val="footer"/>
    <w:basedOn w:val="Normalny"/>
    <w:link w:val="StopkaZnak"/>
    <w:uiPriority w:val="99"/>
    <w:unhideWhenUsed/>
    <w:rsid w:val="001B3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426"/>
  </w:style>
  <w:style w:type="character" w:styleId="Odwoaniedokomentarza">
    <w:name w:val="annotation reference"/>
    <w:basedOn w:val="Domylnaczcionkaakapitu"/>
    <w:uiPriority w:val="99"/>
    <w:semiHidden/>
    <w:unhideWhenUsed/>
    <w:rsid w:val="001B3426"/>
    <w:rPr>
      <w:sz w:val="16"/>
      <w:szCs w:val="16"/>
    </w:rPr>
  </w:style>
  <w:style w:type="paragraph" w:styleId="Tekstkomentarza">
    <w:name w:val="annotation text"/>
    <w:basedOn w:val="Normalny"/>
    <w:link w:val="TekstkomentarzaZnak"/>
    <w:uiPriority w:val="99"/>
    <w:semiHidden/>
    <w:unhideWhenUsed/>
    <w:rsid w:val="001B34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426"/>
    <w:rPr>
      <w:sz w:val="20"/>
      <w:szCs w:val="20"/>
    </w:rPr>
  </w:style>
  <w:style w:type="paragraph" w:styleId="Tematkomentarza">
    <w:name w:val="annotation subject"/>
    <w:basedOn w:val="Tekstkomentarza"/>
    <w:next w:val="Tekstkomentarza"/>
    <w:link w:val="TematkomentarzaZnak"/>
    <w:uiPriority w:val="99"/>
    <w:semiHidden/>
    <w:unhideWhenUsed/>
    <w:rsid w:val="001B3426"/>
    <w:rPr>
      <w:b/>
      <w:bCs/>
    </w:rPr>
  </w:style>
  <w:style w:type="character" w:customStyle="1" w:styleId="TematkomentarzaZnak">
    <w:name w:val="Temat komentarza Znak"/>
    <w:basedOn w:val="TekstkomentarzaZnak"/>
    <w:link w:val="Tematkomentarza"/>
    <w:uiPriority w:val="99"/>
    <w:semiHidden/>
    <w:rsid w:val="001B3426"/>
    <w:rPr>
      <w:b/>
      <w:bCs/>
      <w:sz w:val="20"/>
      <w:szCs w:val="20"/>
    </w:rPr>
  </w:style>
  <w:style w:type="paragraph" w:styleId="Tekstdymka">
    <w:name w:val="Balloon Text"/>
    <w:basedOn w:val="Normalny"/>
    <w:link w:val="TekstdymkaZnak"/>
    <w:uiPriority w:val="99"/>
    <w:semiHidden/>
    <w:unhideWhenUsed/>
    <w:rsid w:val="001B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426"/>
    <w:rPr>
      <w:rFonts w:ascii="Tahoma" w:hAnsi="Tahoma" w:cs="Tahoma"/>
      <w:sz w:val="16"/>
      <w:szCs w:val="16"/>
    </w:rPr>
  </w:style>
  <w:style w:type="paragraph" w:styleId="Poprawka">
    <w:name w:val="Revision"/>
    <w:hidden/>
    <w:uiPriority w:val="99"/>
    <w:semiHidden/>
    <w:rsid w:val="001B3426"/>
    <w:pPr>
      <w:spacing w:after="0" w:line="240" w:lineRule="auto"/>
    </w:pPr>
  </w:style>
  <w:style w:type="paragraph" w:styleId="Tekstprzypisudolnego">
    <w:name w:val="footnote text"/>
    <w:basedOn w:val="Normalny"/>
    <w:link w:val="TekstprzypisudolnegoZnak"/>
    <w:uiPriority w:val="99"/>
    <w:semiHidden/>
    <w:unhideWhenUsed/>
    <w:rsid w:val="001B34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3426"/>
    <w:rPr>
      <w:sz w:val="20"/>
      <w:szCs w:val="20"/>
    </w:rPr>
  </w:style>
  <w:style w:type="character" w:styleId="Odwoanieprzypisudolnego">
    <w:name w:val="footnote reference"/>
    <w:basedOn w:val="Domylnaczcionkaakapitu"/>
    <w:uiPriority w:val="99"/>
    <w:semiHidden/>
    <w:unhideWhenUsed/>
    <w:rsid w:val="001B3426"/>
    <w:rPr>
      <w:vertAlign w:val="superscript"/>
    </w:rPr>
  </w:style>
  <w:style w:type="paragraph" w:styleId="Tekstpodstawowy">
    <w:name w:val="Body Text"/>
    <w:basedOn w:val="Normalny"/>
    <w:link w:val="TekstpodstawowyZnak"/>
    <w:rsid w:val="001B3426"/>
    <w:pPr>
      <w:spacing w:before="240" w:after="0" w:line="240" w:lineRule="auto"/>
      <w:jc w:val="center"/>
    </w:pPr>
    <w:rPr>
      <w:rFonts w:ascii="Times New Roman" w:eastAsia="Times New Roman" w:hAnsi="Times New Roman" w:cs="Arial"/>
      <w:b/>
      <w:bCs/>
      <w:sz w:val="24"/>
      <w:szCs w:val="24"/>
      <w:lang w:eastAsia="pl-PL"/>
    </w:rPr>
  </w:style>
  <w:style w:type="character" w:customStyle="1" w:styleId="TekstpodstawowyZnak">
    <w:name w:val="Tekst podstawowy Znak"/>
    <w:basedOn w:val="Domylnaczcionkaakapitu"/>
    <w:link w:val="Tekstpodstawowy"/>
    <w:rsid w:val="001B3426"/>
    <w:rPr>
      <w:rFonts w:ascii="Times New Roman" w:eastAsia="Times New Roman" w:hAnsi="Times New Roman" w:cs="Arial"/>
      <w:b/>
      <w:bCs/>
      <w:sz w:val="24"/>
      <w:szCs w:val="24"/>
      <w:lang w:eastAsia="pl-PL"/>
    </w:rPr>
  </w:style>
  <w:style w:type="character" w:customStyle="1" w:styleId="Teksttreci">
    <w:name w:val="Tekst treści_"/>
    <w:basedOn w:val="Domylnaczcionkaakapitu"/>
    <w:link w:val="Teksttreci0"/>
    <w:uiPriority w:val="99"/>
    <w:locked/>
    <w:rsid w:val="001B3426"/>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1B3426"/>
    <w:pPr>
      <w:shd w:val="clear" w:color="auto" w:fill="FFFFFF"/>
      <w:spacing w:before="180" w:after="300" w:line="240" w:lineRule="atLeast"/>
      <w:ind w:hanging="360"/>
    </w:pPr>
    <w:rPr>
      <w:rFonts w:ascii="Times New Roman" w:hAnsi="Times New Roman" w:cs="Times New Roman"/>
      <w:sz w:val="23"/>
      <w:szCs w:val="23"/>
    </w:rPr>
  </w:style>
  <w:style w:type="paragraph" w:styleId="Bezodstpw">
    <w:name w:val="No Spacing"/>
    <w:uiPriority w:val="1"/>
    <w:qFormat/>
    <w:rsid w:val="001B34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B3426"/>
  </w:style>
  <w:style w:type="paragraph" w:styleId="Tekstprzypisukocowego">
    <w:name w:val="endnote text"/>
    <w:basedOn w:val="Normalny"/>
    <w:link w:val="TekstprzypisukocowegoZnak"/>
    <w:uiPriority w:val="99"/>
    <w:semiHidden/>
    <w:unhideWhenUsed/>
    <w:rsid w:val="001B34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3426"/>
    <w:rPr>
      <w:sz w:val="20"/>
      <w:szCs w:val="20"/>
    </w:rPr>
  </w:style>
  <w:style w:type="character" w:styleId="Odwoanieprzypisukocowego">
    <w:name w:val="endnote reference"/>
    <w:basedOn w:val="Domylnaczcionkaakapitu"/>
    <w:uiPriority w:val="99"/>
    <w:semiHidden/>
    <w:unhideWhenUsed/>
    <w:rsid w:val="001B3426"/>
    <w:rPr>
      <w:vertAlign w:val="superscript"/>
    </w:rPr>
  </w:style>
  <w:style w:type="paragraph" w:styleId="Akapitzlist">
    <w:name w:val="List Paragraph"/>
    <w:basedOn w:val="Normalny"/>
    <w:uiPriority w:val="34"/>
    <w:qFormat/>
    <w:rsid w:val="001B3426"/>
    <w:pPr>
      <w:ind w:left="720"/>
      <w:contextualSpacing/>
    </w:pPr>
  </w:style>
  <w:style w:type="character" w:customStyle="1" w:styleId="tabulatory1">
    <w:name w:val="tabulatory1"/>
    <w:basedOn w:val="Domylnaczcionkaakapitu"/>
    <w:rsid w:val="001B3426"/>
  </w:style>
  <w:style w:type="paragraph" w:styleId="Nagwek">
    <w:name w:val="header"/>
    <w:basedOn w:val="Normalny"/>
    <w:link w:val="NagwekZnak"/>
    <w:uiPriority w:val="99"/>
    <w:unhideWhenUsed/>
    <w:rsid w:val="001B3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426"/>
  </w:style>
  <w:style w:type="paragraph" w:styleId="Stopka">
    <w:name w:val="footer"/>
    <w:basedOn w:val="Normalny"/>
    <w:link w:val="StopkaZnak"/>
    <w:uiPriority w:val="99"/>
    <w:unhideWhenUsed/>
    <w:rsid w:val="001B3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426"/>
  </w:style>
  <w:style w:type="character" w:styleId="Odwoaniedokomentarza">
    <w:name w:val="annotation reference"/>
    <w:basedOn w:val="Domylnaczcionkaakapitu"/>
    <w:uiPriority w:val="99"/>
    <w:semiHidden/>
    <w:unhideWhenUsed/>
    <w:rsid w:val="001B3426"/>
    <w:rPr>
      <w:sz w:val="16"/>
      <w:szCs w:val="16"/>
    </w:rPr>
  </w:style>
  <w:style w:type="paragraph" w:styleId="Tekstkomentarza">
    <w:name w:val="annotation text"/>
    <w:basedOn w:val="Normalny"/>
    <w:link w:val="TekstkomentarzaZnak"/>
    <w:uiPriority w:val="99"/>
    <w:semiHidden/>
    <w:unhideWhenUsed/>
    <w:rsid w:val="001B34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426"/>
    <w:rPr>
      <w:sz w:val="20"/>
      <w:szCs w:val="20"/>
    </w:rPr>
  </w:style>
  <w:style w:type="paragraph" w:styleId="Tematkomentarza">
    <w:name w:val="annotation subject"/>
    <w:basedOn w:val="Tekstkomentarza"/>
    <w:next w:val="Tekstkomentarza"/>
    <w:link w:val="TematkomentarzaZnak"/>
    <w:uiPriority w:val="99"/>
    <w:semiHidden/>
    <w:unhideWhenUsed/>
    <w:rsid w:val="001B3426"/>
    <w:rPr>
      <w:b/>
      <w:bCs/>
    </w:rPr>
  </w:style>
  <w:style w:type="character" w:customStyle="1" w:styleId="TematkomentarzaZnak">
    <w:name w:val="Temat komentarza Znak"/>
    <w:basedOn w:val="TekstkomentarzaZnak"/>
    <w:link w:val="Tematkomentarza"/>
    <w:uiPriority w:val="99"/>
    <w:semiHidden/>
    <w:rsid w:val="001B3426"/>
    <w:rPr>
      <w:b/>
      <w:bCs/>
      <w:sz w:val="20"/>
      <w:szCs w:val="20"/>
    </w:rPr>
  </w:style>
  <w:style w:type="paragraph" w:styleId="Tekstdymka">
    <w:name w:val="Balloon Text"/>
    <w:basedOn w:val="Normalny"/>
    <w:link w:val="TekstdymkaZnak"/>
    <w:uiPriority w:val="99"/>
    <w:semiHidden/>
    <w:unhideWhenUsed/>
    <w:rsid w:val="001B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426"/>
    <w:rPr>
      <w:rFonts w:ascii="Tahoma" w:hAnsi="Tahoma" w:cs="Tahoma"/>
      <w:sz w:val="16"/>
      <w:szCs w:val="16"/>
    </w:rPr>
  </w:style>
  <w:style w:type="paragraph" w:styleId="Poprawka">
    <w:name w:val="Revision"/>
    <w:hidden/>
    <w:uiPriority w:val="99"/>
    <w:semiHidden/>
    <w:rsid w:val="001B3426"/>
    <w:pPr>
      <w:spacing w:after="0" w:line="240" w:lineRule="auto"/>
    </w:pPr>
  </w:style>
  <w:style w:type="paragraph" w:styleId="Tekstprzypisudolnego">
    <w:name w:val="footnote text"/>
    <w:basedOn w:val="Normalny"/>
    <w:link w:val="TekstprzypisudolnegoZnak"/>
    <w:uiPriority w:val="99"/>
    <w:semiHidden/>
    <w:unhideWhenUsed/>
    <w:rsid w:val="001B34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3426"/>
    <w:rPr>
      <w:sz w:val="20"/>
      <w:szCs w:val="20"/>
    </w:rPr>
  </w:style>
  <w:style w:type="character" w:styleId="Odwoanieprzypisudolnego">
    <w:name w:val="footnote reference"/>
    <w:basedOn w:val="Domylnaczcionkaakapitu"/>
    <w:uiPriority w:val="99"/>
    <w:semiHidden/>
    <w:unhideWhenUsed/>
    <w:rsid w:val="001B3426"/>
    <w:rPr>
      <w:vertAlign w:val="superscript"/>
    </w:rPr>
  </w:style>
  <w:style w:type="paragraph" w:styleId="Tekstpodstawowy">
    <w:name w:val="Body Text"/>
    <w:basedOn w:val="Normalny"/>
    <w:link w:val="TekstpodstawowyZnak"/>
    <w:rsid w:val="001B3426"/>
    <w:pPr>
      <w:spacing w:before="240" w:after="0" w:line="240" w:lineRule="auto"/>
      <w:jc w:val="center"/>
    </w:pPr>
    <w:rPr>
      <w:rFonts w:ascii="Times New Roman" w:eastAsia="Times New Roman" w:hAnsi="Times New Roman" w:cs="Arial"/>
      <w:b/>
      <w:bCs/>
      <w:sz w:val="24"/>
      <w:szCs w:val="24"/>
      <w:lang w:eastAsia="pl-PL"/>
    </w:rPr>
  </w:style>
  <w:style w:type="character" w:customStyle="1" w:styleId="TekstpodstawowyZnak">
    <w:name w:val="Tekst podstawowy Znak"/>
    <w:basedOn w:val="Domylnaczcionkaakapitu"/>
    <w:link w:val="Tekstpodstawowy"/>
    <w:rsid w:val="001B3426"/>
    <w:rPr>
      <w:rFonts w:ascii="Times New Roman" w:eastAsia="Times New Roman" w:hAnsi="Times New Roman" w:cs="Arial"/>
      <w:b/>
      <w:bCs/>
      <w:sz w:val="24"/>
      <w:szCs w:val="24"/>
      <w:lang w:eastAsia="pl-PL"/>
    </w:rPr>
  </w:style>
  <w:style w:type="character" w:customStyle="1" w:styleId="Teksttreci">
    <w:name w:val="Tekst treści_"/>
    <w:basedOn w:val="Domylnaczcionkaakapitu"/>
    <w:link w:val="Teksttreci0"/>
    <w:uiPriority w:val="99"/>
    <w:locked/>
    <w:rsid w:val="001B3426"/>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1B3426"/>
    <w:pPr>
      <w:shd w:val="clear" w:color="auto" w:fill="FFFFFF"/>
      <w:spacing w:before="180" w:after="300" w:line="240" w:lineRule="atLeast"/>
      <w:ind w:hanging="360"/>
    </w:pPr>
    <w:rPr>
      <w:rFonts w:ascii="Times New Roman" w:hAnsi="Times New Roman" w:cs="Times New Roman"/>
      <w:sz w:val="23"/>
      <w:szCs w:val="23"/>
    </w:rPr>
  </w:style>
  <w:style w:type="paragraph" w:styleId="Bezodstpw">
    <w:name w:val="No Spacing"/>
    <w:uiPriority w:val="1"/>
    <w:qFormat/>
    <w:rsid w:val="001B3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intranet/lex/index.rpc" TargetMode="External"/><Relationship Id="rId18" Type="http://schemas.openxmlformats.org/officeDocument/2006/relationships/hyperlink" Target="http://lex-intranet/lex/index.rpc" TargetMode="External"/><Relationship Id="rId26" Type="http://schemas.openxmlformats.org/officeDocument/2006/relationships/hyperlink" Target="http://lex-intranet/lex/index.rpc" TargetMode="External"/><Relationship Id="rId39" Type="http://schemas.openxmlformats.org/officeDocument/2006/relationships/hyperlink" Target="http://lex-intranet/lex/index.rpc" TargetMode="External"/><Relationship Id="rId3" Type="http://schemas.microsoft.com/office/2007/relationships/stylesWithEffects" Target="stylesWithEffects.xml"/><Relationship Id="rId21" Type="http://schemas.openxmlformats.org/officeDocument/2006/relationships/hyperlink" Target="http://lex-intranet/lex/index.rpc" TargetMode="External"/><Relationship Id="rId34" Type="http://schemas.openxmlformats.org/officeDocument/2006/relationships/hyperlink" Target="http://lex-intranet/lex/index.rpc" TargetMode="External"/><Relationship Id="rId42" Type="http://schemas.openxmlformats.org/officeDocument/2006/relationships/hyperlink" Target="http://lex-intranet/lex/index.rpc" TargetMode="External"/><Relationship Id="rId47" Type="http://schemas.openxmlformats.org/officeDocument/2006/relationships/hyperlink" Target="http://lex-intranet/lex/index.rp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x-intranet/lex/index.rpc" TargetMode="External"/><Relationship Id="rId17" Type="http://schemas.openxmlformats.org/officeDocument/2006/relationships/hyperlink" Target="http://lex-intranet/lex/index.rpc" TargetMode="External"/><Relationship Id="rId25" Type="http://schemas.openxmlformats.org/officeDocument/2006/relationships/hyperlink" Target="http://lex-intranet/lex/index.rpc" TargetMode="External"/><Relationship Id="rId33" Type="http://schemas.openxmlformats.org/officeDocument/2006/relationships/hyperlink" Target="http://lex-intranet/lex/index.rpc" TargetMode="External"/><Relationship Id="rId38" Type="http://schemas.openxmlformats.org/officeDocument/2006/relationships/hyperlink" Target="http://lex-intranet/lex/index.rpc" TargetMode="External"/><Relationship Id="rId46" Type="http://schemas.openxmlformats.org/officeDocument/2006/relationships/hyperlink" Target="http://lex-intranet/lex/index.rpc" TargetMode="External"/><Relationship Id="rId2" Type="http://schemas.openxmlformats.org/officeDocument/2006/relationships/styles" Target="styles.xml"/><Relationship Id="rId16" Type="http://schemas.openxmlformats.org/officeDocument/2006/relationships/hyperlink" Target="http://lex-intranet/lex/index.rpc" TargetMode="External"/><Relationship Id="rId20" Type="http://schemas.openxmlformats.org/officeDocument/2006/relationships/hyperlink" Target="http://lex-intranet/lex/index.rpc" TargetMode="External"/><Relationship Id="rId29" Type="http://schemas.openxmlformats.org/officeDocument/2006/relationships/hyperlink" Target="http://lex-intranet/lex/index.rpc" TargetMode="External"/><Relationship Id="rId41" Type="http://schemas.openxmlformats.org/officeDocument/2006/relationships/hyperlink" Target="http://lex-intranet/lex/index.rp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intranet/lex/index.rpc" TargetMode="External"/><Relationship Id="rId24" Type="http://schemas.openxmlformats.org/officeDocument/2006/relationships/hyperlink" Target="http://lex-intranet/lex/index.rpc" TargetMode="External"/><Relationship Id="rId32" Type="http://schemas.openxmlformats.org/officeDocument/2006/relationships/hyperlink" Target="http://lex-intranet/lex/index.rpc" TargetMode="External"/><Relationship Id="rId37" Type="http://schemas.openxmlformats.org/officeDocument/2006/relationships/hyperlink" Target="http://lex-intranet/lex/index.rpc" TargetMode="External"/><Relationship Id="rId40" Type="http://schemas.openxmlformats.org/officeDocument/2006/relationships/hyperlink" Target="http://lex-intranet/lex/index.rpc" TargetMode="External"/><Relationship Id="rId45" Type="http://schemas.openxmlformats.org/officeDocument/2006/relationships/hyperlink" Target="http://lex-intranet/lex/index.rpc" TargetMode="External"/><Relationship Id="rId5" Type="http://schemas.openxmlformats.org/officeDocument/2006/relationships/webSettings" Target="webSettings.xml"/><Relationship Id="rId15" Type="http://schemas.openxmlformats.org/officeDocument/2006/relationships/hyperlink" Target="http://lex-intranet/lex/index.rpc" TargetMode="External"/><Relationship Id="rId23" Type="http://schemas.openxmlformats.org/officeDocument/2006/relationships/hyperlink" Target="http://lex-intranet/lex/index.rpc" TargetMode="External"/><Relationship Id="rId28" Type="http://schemas.openxmlformats.org/officeDocument/2006/relationships/hyperlink" Target="http://lex-intranet/lex/index.rpc" TargetMode="External"/><Relationship Id="rId36" Type="http://schemas.openxmlformats.org/officeDocument/2006/relationships/hyperlink" Target="http://lex-intranet/lex/index.rpc" TargetMode="External"/><Relationship Id="rId49" Type="http://schemas.openxmlformats.org/officeDocument/2006/relationships/footer" Target="footer1.xml"/><Relationship Id="rId10" Type="http://schemas.openxmlformats.org/officeDocument/2006/relationships/hyperlink" Target="http://lex-intranet/lex/index.rpc" TargetMode="External"/><Relationship Id="rId19" Type="http://schemas.openxmlformats.org/officeDocument/2006/relationships/hyperlink" Target="http://lex-intranet/lex/index.rpc" TargetMode="External"/><Relationship Id="rId31" Type="http://schemas.openxmlformats.org/officeDocument/2006/relationships/hyperlink" Target="http://lex-intranet/lex/index.rpc" TargetMode="External"/><Relationship Id="rId44" Type="http://schemas.openxmlformats.org/officeDocument/2006/relationships/hyperlink" Target="http://lex-intranet/lex/index.rpc" TargetMode="External"/><Relationship Id="rId4" Type="http://schemas.openxmlformats.org/officeDocument/2006/relationships/settings" Target="settings.xml"/><Relationship Id="rId9" Type="http://schemas.openxmlformats.org/officeDocument/2006/relationships/hyperlink" Target="http://lex-intranet/lex/index.rpc" TargetMode="External"/><Relationship Id="rId14" Type="http://schemas.openxmlformats.org/officeDocument/2006/relationships/hyperlink" Target="http://lex-intranet/lex/index.rpc" TargetMode="External"/><Relationship Id="rId22" Type="http://schemas.openxmlformats.org/officeDocument/2006/relationships/hyperlink" Target="http://lex-intranet/lex/index.rpc" TargetMode="External"/><Relationship Id="rId27" Type="http://schemas.openxmlformats.org/officeDocument/2006/relationships/hyperlink" Target="http://lex-intranet/lex/index.rpc" TargetMode="External"/><Relationship Id="rId30" Type="http://schemas.openxmlformats.org/officeDocument/2006/relationships/hyperlink" Target="http://lex-intranet/lex/index.rpc" TargetMode="External"/><Relationship Id="rId35" Type="http://schemas.openxmlformats.org/officeDocument/2006/relationships/hyperlink" Target="http://lex-intranet/lex/index.rpc" TargetMode="External"/><Relationship Id="rId43" Type="http://schemas.openxmlformats.org/officeDocument/2006/relationships/hyperlink" Target="http://lex-intranet/lex/index.rpc" TargetMode="External"/><Relationship Id="rId48" Type="http://schemas.openxmlformats.org/officeDocument/2006/relationships/hyperlink" Target="http://lex-intranet/lex/index.rpc" TargetMode="External"/><Relationship Id="rId8" Type="http://schemas.openxmlformats.org/officeDocument/2006/relationships/hyperlink" Target="http://lex-intranet/lex/index.rpc"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6640</Words>
  <Characters>39842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46390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Peszkowski</dc:creator>
  <cp:lastModifiedBy>Sławomir Peszkowski</cp:lastModifiedBy>
  <cp:revision>2</cp:revision>
  <cp:lastPrinted>2014-04-28T12:54:00Z</cp:lastPrinted>
  <dcterms:created xsi:type="dcterms:W3CDTF">2014-04-30T12:17:00Z</dcterms:created>
  <dcterms:modified xsi:type="dcterms:W3CDTF">2014-04-30T12:17:00Z</dcterms:modified>
</cp:coreProperties>
</file>