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A512" w14:textId="586E2912" w:rsidR="007A6D7F" w:rsidRPr="007A6D7F" w:rsidRDefault="007A6D7F" w:rsidP="007A6D7F">
      <w:pPr>
        <w:jc w:val="center"/>
        <w:rPr>
          <w:rFonts w:ascii="Arial Narrow" w:hAnsi="Arial Narrow" w:cs="Arial"/>
          <w:b/>
          <w:bCs/>
          <w:sz w:val="28"/>
          <w:szCs w:val="28"/>
          <w:u w:val="single"/>
        </w:rPr>
      </w:pPr>
      <w:r w:rsidRPr="007A6D7F">
        <w:rPr>
          <w:rFonts w:ascii="Arial Narrow" w:hAnsi="Arial Narrow" w:cs="Arial"/>
          <w:b/>
          <w:bCs/>
          <w:sz w:val="28"/>
          <w:szCs w:val="28"/>
          <w:u w:val="single"/>
        </w:rPr>
        <w:t xml:space="preserve">WSKAŹNIK </w:t>
      </w:r>
      <w:r w:rsidR="00843D64">
        <w:rPr>
          <w:rFonts w:ascii="Arial Narrow" w:hAnsi="Arial Narrow" w:cs="Arial"/>
          <w:b/>
          <w:bCs/>
          <w:sz w:val="28"/>
          <w:szCs w:val="28"/>
          <w:u w:val="single"/>
        </w:rPr>
        <w:t>9</w:t>
      </w:r>
    </w:p>
    <w:p w14:paraId="03B1C0D4" w14:textId="6FC59D3A" w:rsidR="002E0DB0" w:rsidRPr="007A6D7F" w:rsidRDefault="002E0DB0" w:rsidP="002E0DB0">
      <w:pPr>
        <w:rPr>
          <w:rFonts w:ascii="Arial Narrow" w:hAnsi="Arial Narrow" w:cs="Arial"/>
          <w:sz w:val="24"/>
          <w:szCs w:val="24"/>
          <w:u w:val="single"/>
        </w:rPr>
      </w:pPr>
      <w:r w:rsidRPr="007A6D7F">
        <w:rPr>
          <w:rFonts w:ascii="Arial Narrow" w:hAnsi="Arial Narrow" w:cs="Arial"/>
          <w:sz w:val="24"/>
          <w:szCs w:val="24"/>
          <w:u w:val="single"/>
        </w:rPr>
        <w:t>Zastrzeżenia ogóle</w:t>
      </w:r>
    </w:p>
    <w:p w14:paraId="553F2D8D" w14:textId="6895D12A" w:rsidR="002E0DB0" w:rsidRPr="007A6D7F" w:rsidRDefault="002E0DB0" w:rsidP="007A6D7F">
      <w:pPr>
        <w:jc w:val="both"/>
        <w:rPr>
          <w:rFonts w:ascii="Arial Narrow" w:hAnsi="Arial Narrow" w:cs="Arial"/>
          <w:b/>
          <w:bCs/>
          <w:sz w:val="24"/>
          <w:szCs w:val="24"/>
        </w:rPr>
      </w:pPr>
      <w:r w:rsidRPr="007A6D7F">
        <w:rPr>
          <w:rFonts w:ascii="Arial Narrow" w:hAnsi="Arial Narrow" w:cs="Arial"/>
          <w:sz w:val="24"/>
          <w:szCs w:val="24"/>
        </w:rPr>
        <w:t xml:space="preserve">1. Co do zasady powinno się raportować </w:t>
      </w:r>
      <w:r w:rsidRPr="007A6D7F">
        <w:rPr>
          <w:rFonts w:ascii="Arial Narrow" w:hAnsi="Arial Narrow" w:cs="Arial"/>
          <w:b/>
          <w:bCs/>
          <w:sz w:val="24"/>
          <w:szCs w:val="24"/>
          <w:u w:val="single"/>
        </w:rPr>
        <w:t>w ujęciu grupy, a nie podmiotu.</w:t>
      </w:r>
      <w:r w:rsidRPr="007A6D7F">
        <w:rPr>
          <w:rFonts w:ascii="Arial Narrow" w:hAnsi="Arial Narrow" w:cs="Arial"/>
          <w:sz w:val="24"/>
          <w:szCs w:val="24"/>
        </w:rPr>
        <w:t xml:space="preserve"> </w:t>
      </w:r>
      <w:r w:rsidR="007A6D7F">
        <w:rPr>
          <w:rFonts w:ascii="Arial Narrow" w:hAnsi="Arial Narrow" w:cs="Arial"/>
          <w:sz w:val="24"/>
          <w:szCs w:val="24"/>
        </w:rPr>
        <w:t>Definicja g</w:t>
      </w:r>
      <w:r w:rsidR="007A6D7F" w:rsidRPr="007A6D7F">
        <w:rPr>
          <w:rFonts w:ascii="Arial Narrow" w:hAnsi="Arial Narrow" w:cs="Arial"/>
          <w:sz w:val="24"/>
          <w:szCs w:val="24"/>
        </w:rPr>
        <w:t>rup</w:t>
      </w:r>
      <w:r w:rsidR="007A6D7F">
        <w:rPr>
          <w:rFonts w:ascii="Arial Narrow" w:hAnsi="Arial Narrow" w:cs="Arial"/>
          <w:sz w:val="24"/>
          <w:szCs w:val="24"/>
        </w:rPr>
        <w:t xml:space="preserve">y </w:t>
      </w:r>
      <w:r w:rsidR="007A6D7F" w:rsidRPr="007A6D7F">
        <w:rPr>
          <w:rFonts w:ascii="Arial Narrow" w:hAnsi="Arial Narrow" w:cs="Arial"/>
          <w:sz w:val="24"/>
          <w:szCs w:val="24"/>
        </w:rPr>
        <w:t>kapitałow</w:t>
      </w:r>
      <w:r w:rsidR="007A6D7F">
        <w:rPr>
          <w:rFonts w:ascii="Arial Narrow" w:hAnsi="Arial Narrow" w:cs="Arial"/>
          <w:sz w:val="24"/>
          <w:szCs w:val="24"/>
        </w:rPr>
        <w:t>ej</w:t>
      </w:r>
      <w:r w:rsidR="007A6D7F" w:rsidRPr="007A6D7F">
        <w:rPr>
          <w:rFonts w:ascii="Arial Narrow" w:hAnsi="Arial Narrow" w:cs="Arial"/>
          <w:sz w:val="24"/>
          <w:szCs w:val="24"/>
        </w:rPr>
        <w:t xml:space="preserve"> z ustawy o rachunkowości.</w:t>
      </w:r>
    </w:p>
    <w:p w14:paraId="73C35E53" w14:textId="77777777" w:rsidR="002E0DB0" w:rsidRPr="007A6D7F" w:rsidRDefault="002E0DB0" w:rsidP="007A6D7F">
      <w:pPr>
        <w:jc w:val="both"/>
        <w:rPr>
          <w:rFonts w:ascii="Arial Narrow" w:hAnsi="Arial Narrow" w:cs="Arial"/>
          <w:sz w:val="24"/>
          <w:szCs w:val="24"/>
        </w:rPr>
      </w:pPr>
      <w:r w:rsidRPr="007A6D7F">
        <w:rPr>
          <w:rFonts w:ascii="Arial Narrow" w:hAnsi="Arial Narrow" w:cs="Arial"/>
          <w:sz w:val="24"/>
          <w:szCs w:val="24"/>
        </w:rPr>
        <w:t xml:space="preserve">2. Jeśli istnieją globalne/wspólne standardy to będą one miały pierwszeństwo, żeby nie narzucać nowych metod liczenia i nowych obowiązków. </w:t>
      </w:r>
    </w:p>
    <w:p w14:paraId="341794BF" w14:textId="5E998F60" w:rsidR="00E941B7" w:rsidRDefault="002E0DB0" w:rsidP="002E42AD">
      <w:pPr>
        <w:jc w:val="both"/>
        <w:rPr>
          <w:rFonts w:ascii="Arial Narrow" w:hAnsi="Arial Narrow" w:cs="Arial"/>
          <w:sz w:val="24"/>
          <w:szCs w:val="24"/>
        </w:rPr>
      </w:pPr>
      <w:r w:rsidRPr="007A6D7F">
        <w:rPr>
          <w:rFonts w:ascii="Arial Narrow" w:hAnsi="Arial Narrow" w:cs="Arial"/>
          <w:sz w:val="24"/>
          <w:szCs w:val="24"/>
        </w:rPr>
        <w:t xml:space="preserve">3. Należy wypracować wspólne podejście do przedsiębiorstw niefinansowych, które nie będą w stanie udostępnić informacji wymaganych zgodnie z tabelą (to podejście powinno być zróżnicowane do co celów danej regulacji – tzn. inne podejście do potrzeby ujawnień instytucji finansowych, inne do oceny ryzyka EGS przy planowaniu finansowania dla inwestycji, </w:t>
      </w:r>
      <w:r w:rsidRPr="00593348">
        <w:rPr>
          <w:rFonts w:ascii="Arial Narrow" w:hAnsi="Arial Narrow" w:cs="Arial"/>
          <w:sz w:val="24"/>
          <w:szCs w:val="24"/>
        </w:rPr>
        <w:t xml:space="preserve">jeszcze inna przy dokonywaniu emisji zielonej obligacji). Jednocześnie w niektórych przypadkach klienci instytucji finansowych będą zobowiązani do przekazania danych, na podstawie których to już instytucja finansowa policzy dany </w:t>
      </w:r>
      <w:r w:rsidRPr="007A6D7F">
        <w:rPr>
          <w:rFonts w:ascii="Arial Narrow" w:hAnsi="Arial Narrow" w:cs="Arial"/>
          <w:sz w:val="24"/>
          <w:szCs w:val="24"/>
        </w:rPr>
        <w:t xml:space="preserve">wskaźnik. </w:t>
      </w:r>
    </w:p>
    <w:p w14:paraId="44895604" w14:textId="78A23610" w:rsidR="006F6901" w:rsidRPr="002E42AD" w:rsidRDefault="006F6901" w:rsidP="006F6901">
      <w:pPr>
        <w:rPr>
          <w:rFonts w:ascii="Arial Narrow" w:hAnsi="Arial Narrow" w:cs="Arial"/>
          <w:sz w:val="24"/>
          <w:szCs w:val="24"/>
        </w:rPr>
      </w:pPr>
      <w:r>
        <w:rPr>
          <w:rFonts w:ascii="Arial Narrow" w:hAnsi="Arial Narrow" w:cs="Arial"/>
          <w:sz w:val="24"/>
          <w:szCs w:val="24"/>
        </w:rPr>
        <w:t>4.</w:t>
      </w:r>
      <w:r>
        <w:rPr>
          <w:rFonts w:ascii="Arial Narrow" w:hAnsi="Arial Narrow" w:cs="Arial"/>
          <w:sz w:val="24"/>
          <w:szCs w:val="24"/>
          <w:highlight w:val="yellow"/>
        </w:rPr>
        <w:t>Ujawniana i</w:t>
      </w:r>
      <w:r w:rsidRPr="006F6901">
        <w:rPr>
          <w:rFonts w:ascii="Arial Narrow" w:hAnsi="Arial Narrow" w:cs="Arial"/>
          <w:sz w:val="24"/>
          <w:szCs w:val="24"/>
          <w:highlight w:val="yellow"/>
        </w:rPr>
        <w:t>nformacja dotyczy danego roku</w:t>
      </w:r>
      <w:r>
        <w:rPr>
          <w:rFonts w:ascii="Arial Narrow" w:hAnsi="Arial Narrow" w:cs="Arial"/>
          <w:sz w:val="24"/>
          <w:szCs w:val="24"/>
        </w:rPr>
        <w:t xml:space="preserve"> </w:t>
      </w:r>
      <w:r w:rsidRPr="006F6901">
        <w:rPr>
          <w:rFonts w:ascii="Arial Narrow" w:hAnsi="Arial Narrow" w:cs="Arial"/>
          <w:sz w:val="24"/>
          <w:szCs w:val="24"/>
          <w:highlight w:val="yellow"/>
        </w:rPr>
        <w:t>sprawozdawczego.</w:t>
      </w:r>
      <w:r>
        <w:rPr>
          <w:rFonts w:ascii="Arial Narrow" w:hAnsi="Arial Narrow" w:cs="Arial"/>
          <w:sz w:val="24"/>
          <w:szCs w:val="24"/>
        </w:rPr>
        <w:t xml:space="preserve"> </w:t>
      </w:r>
      <w:r w:rsidRPr="006F6901">
        <w:rPr>
          <w:rFonts w:ascii="Arial Narrow" w:hAnsi="Arial Narrow" w:cs="Arial"/>
          <w:sz w:val="24"/>
          <w:szCs w:val="24"/>
          <w:highlight w:val="yellow"/>
        </w:rPr>
        <w:t>Jeśli miałaby dotyczyć innego okresu musi to zostać wprost wskazane.</w:t>
      </w:r>
      <w:r>
        <w:rPr>
          <w:rFonts w:ascii="Arial Narrow" w:hAnsi="Arial Narrow" w:cs="Arial"/>
          <w:sz w:val="24"/>
          <w:szCs w:val="24"/>
        </w:rPr>
        <w:t xml:space="preserve"> </w:t>
      </w:r>
    </w:p>
    <w:p w14:paraId="441E3256" w14:textId="63B5AB25" w:rsidR="006F6901" w:rsidRPr="007A6D7F" w:rsidRDefault="006F6901" w:rsidP="002E42AD">
      <w:pPr>
        <w:jc w:val="both"/>
        <w:rPr>
          <w:rFonts w:ascii="Arial Narrow" w:hAnsi="Arial Narrow" w:cs="Arial"/>
          <w:sz w:val="24"/>
          <w:szCs w:val="24"/>
        </w:rPr>
      </w:pPr>
    </w:p>
    <w:tbl>
      <w:tblPr>
        <w:tblStyle w:val="Tabela-Siatka"/>
        <w:tblW w:w="14315" w:type="dxa"/>
        <w:tblLook w:val="04A0" w:firstRow="1" w:lastRow="0" w:firstColumn="1" w:lastColumn="0" w:noHBand="0" w:noVBand="1"/>
      </w:tblPr>
      <w:tblGrid>
        <w:gridCol w:w="2972"/>
        <w:gridCol w:w="11343"/>
      </w:tblGrid>
      <w:tr w:rsidR="00E941B7" w:rsidRPr="00593348" w14:paraId="25D0FFC2" w14:textId="77777777" w:rsidTr="007A6D7F">
        <w:trPr>
          <w:trHeight w:val="643"/>
        </w:trPr>
        <w:tc>
          <w:tcPr>
            <w:tcW w:w="2972" w:type="dxa"/>
            <w:shd w:val="clear" w:color="auto" w:fill="C5E0B3" w:themeFill="accent6" w:themeFillTint="66"/>
          </w:tcPr>
          <w:p w14:paraId="034CBFA3" w14:textId="1783A850" w:rsidR="00E941B7" w:rsidRPr="007A6D7F" w:rsidRDefault="00E941B7">
            <w:pPr>
              <w:rPr>
                <w:rFonts w:ascii="Arial Narrow" w:hAnsi="Arial Narrow" w:cs="Arial"/>
                <w:sz w:val="24"/>
                <w:szCs w:val="24"/>
              </w:rPr>
            </w:pPr>
            <w:r w:rsidRPr="007A6D7F">
              <w:rPr>
                <w:rFonts w:ascii="Arial Narrow" w:hAnsi="Arial Narrow" w:cs="Arial"/>
                <w:b/>
                <w:bCs/>
                <w:sz w:val="24"/>
                <w:szCs w:val="24"/>
              </w:rPr>
              <w:t>Nazwa wskaźnika (EN)</w:t>
            </w:r>
          </w:p>
        </w:tc>
        <w:tc>
          <w:tcPr>
            <w:tcW w:w="11343" w:type="dxa"/>
          </w:tcPr>
          <w:p w14:paraId="32607E4C" w14:textId="195A0959" w:rsidR="00E941B7" w:rsidRPr="007A6D7F" w:rsidRDefault="00BA2591">
            <w:pPr>
              <w:rPr>
                <w:rFonts w:ascii="Arial Narrow" w:hAnsi="Arial Narrow" w:cs="Arial"/>
                <w:sz w:val="24"/>
                <w:szCs w:val="24"/>
                <w:lang w:val="en-US"/>
              </w:rPr>
            </w:pPr>
            <w:r w:rsidRPr="00BA2591">
              <w:rPr>
                <w:rFonts w:ascii="Arial Narrow" w:hAnsi="Arial Narrow" w:cs="Arial"/>
                <w:sz w:val="24"/>
                <w:szCs w:val="24"/>
                <w:lang w:val="en-GB"/>
              </w:rPr>
              <w:t>Biodiversity and ecosystem preservation practices</w:t>
            </w:r>
          </w:p>
        </w:tc>
      </w:tr>
      <w:tr w:rsidR="00E941B7" w:rsidRPr="007A6D7F" w14:paraId="0325BCB8" w14:textId="77777777" w:rsidTr="007A6D7F">
        <w:trPr>
          <w:trHeight w:val="864"/>
        </w:trPr>
        <w:tc>
          <w:tcPr>
            <w:tcW w:w="2972" w:type="dxa"/>
            <w:shd w:val="clear" w:color="auto" w:fill="C5E0B3" w:themeFill="accent6" w:themeFillTint="66"/>
          </w:tcPr>
          <w:p w14:paraId="5DF07311" w14:textId="1A5B9BC6" w:rsidR="00E941B7" w:rsidRPr="007A6D7F" w:rsidRDefault="00E941B7">
            <w:pPr>
              <w:rPr>
                <w:rFonts w:ascii="Arial Narrow" w:hAnsi="Arial Narrow" w:cs="Arial"/>
                <w:sz w:val="24"/>
                <w:szCs w:val="24"/>
                <w:lang w:val="en-US"/>
              </w:rPr>
            </w:pPr>
            <w:r w:rsidRPr="007A6D7F">
              <w:rPr>
                <w:rFonts w:ascii="Arial Narrow" w:hAnsi="Arial Narrow" w:cs="Arial"/>
                <w:b/>
                <w:bCs/>
                <w:sz w:val="24"/>
                <w:szCs w:val="24"/>
              </w:rPr>
              <w:t>Nazwa wskaźnika (PL)</w:t>
            </w:r>
          </w:p>
        </w:tc>
        <w:tc>
          <w:tcPr>
            <w:tcW w:w="11343" w:type="dxa"/>
          </w:tcPr>
          <w:p w14:paraId="6C7B38DA" w14:textId="340BA045" w:rsidR="00E941B7" w:rsidRPr="007A6D7F" w:rsidRDefault="00BA2591">
            <w:pPr>
              <w:rPr>
                <w:rFonts w:ascii="Arial Narrow" w:hAnsi="Arial Narrow" w:cs="Arial"/>
                <w:sz w:val="24"/>
                <w:szCs w:val="24"/>
              </w:rPr>
            </w:pPr>
            <w:r w:rsidRPr="00BA2591">
              <w:rPr>
                <w:rFonts w:ascii="Arial Narrow" w:hAnsi="Arial Narrow" w:cs="Arial"/>
                <w:sz w:val="24"/>
                <w:szCs w:val="24"/>
              </w:rPr>
              <w:t>Różnorodność biologiczna i praktyki ochrony ekosystemów</w:t>
            </w:r>
            <w:r>
              <w:rPr>
                <w:rFonts w:ascii="Arial Narrow" w:hAnsi="Arial Narrow" w:cs="Arial"/>
                <w:sz w:val="24"/>
                <w:szCs w:val="24"/>
              </w:rPr>
              <w:t xml:space="preserve"> </w:t>
            </w:r>
          </w:p>
        </w:tc>
      </w:tr>
      <w:tr w:rsidR="00E941B7" w:rsidRPr="006F130D" w14:paraId="7FA8446D" w14:textId="77777777" w:rsidTr="00BA2591">
        <w:trPr>
          <w:trHeight w:val="831"/>
        </w:trPr>
        <w:tc>
          <w:tcPr>
            <w:tcW w:w="2972" w:type="dxa"/>
            <w:shd w:val="clear" w:color="auto" w:fill="C5E0B3" w:themeFill="accent6" w:themeFillTint="66"/>
          </w:tcPr>
          <w:p w14:paraId="59C59743" w14:textId="1DD76450" w:rsidR="00E941B7" w:rsidRPr="007A6D7F" w:rsidRDefault="00E941B7">
            <w:pPr>
              <w:rPr>
                <w:rFonts w:ascii="Arial Narrow" w:hAnsi="Arial Narrow" w:cs="Arial"/>
                <w:sz w:val="24"/>
                <w:szCs w:val="24"/>
              </w:rPr>
            </w:pPr>
            <w:r w:rsidRPr="007A6D7F">
              <w:rPr>
                <w:rFonts w:ascii="Arial Narrow" w:hAnsi="Arial Narrow" w:cs="Arial"/>
                <w:sz w:val="24"/>
                <w:szCs w:val="24"/>
              </w:rPr>
              <w:t>Wykorzystywana metoda obliczeniowa</w:t>
            </w:r>
          </w:p>
        </w:tc>
        <w:tc>
          <w:tcPr>
            <w:tcW w:w="11343" w:type="dxa"/>
          </w:tcPr>
          <w:p w14:paraId="0C48DCEE" w14:textId="01F1FA35" w:rsidR="00E941B7" w:rsidRPr="00BA2591" w:rsidRDefault="00BA2591" w:rsidP="00BF46C7">
            <w:pPr>
              <w:rPr>
                <w:rFonts w:ascii="Arial Narrow" w:hAnsi="Arial Narrow" w:cs="Arial"/>
                <w:sz w:val="24"/>
                <w:szCs w:val="24"/>
              </w:rPr>
            </w:pPr>
            <w:r w:rsidRPr="00BA2591">
              <w:rPr>
                <w:rFonts w:ascii="Arial Narrow" w:hAnsi="Arial Narrow" w:cs="Arial"/>
                <w:sz w:val="24"/>
                <w:szCs w:val="24"/>
              </w:rPr>
              <w:t xml:space="preserve">Wskaźnik de facto odnosi się do posiadania w spółce odpowiedniej polityki a nie oceny już konkretnych rozwiązań polityki. Wskaźnik dostarczany na postawie oświadczeń spółek. </w:t>
            </w:r>
          </w:p>
        </w:tc>
      </w:tr>
      <w:tr w:rsidR="00E941B7" w:rsidRPr="00593348" w14:paraId="70B2FBDC" w14:textId="77777777" w:rsidTr="007A6D7F">
        <w:trPr>
          <w:trHeight w:val="49"/>
        </w:trPr>
        <w:tc>
          <w:tcPr>
            <w:tcW w:w="2972" w:type="dxa"/>
            <w:shd w:val="clear" w:color="auto" w:fill="C5E0B3" w:themeFill="accent6" w:themeFillTint="66"/>
          </w:tcPr>
          <w:p w14:paraId="76B80F7A" w14:textId="60ABF6C8" w:rsidR="00E941B7" w:rsidRPr="007A6D7F" w:rsidRDefault="002E0DB0">
            <w:pPr>
              <w:rPr>
                <w:rFonts w:ascii="Arial Narrow" w:hAnsi="Arial Narrow" w:cs="Arial"/>
                <w:sz w:val="24"/>
                <w:szCs w:val="24"/>
              </w:rPr>
            </w:pPr>
            <w:r w:rsidRPr="007A6D7F">
              <w:rPr>
                <w:rFonts w:ascii="Arial Narrow" w:hAnsi="Arial Narrow" w:cs="Arial"/>
                <w:sz w:val="24"/>
                <w:szCs w:val="24"/>
              </w:rPr>
              <w:t xml:space="preserve">Definicja zawarta w projekcie RTS </w:t>
            </w:r>
          </w:p>
        </w:tc>
        <w:tc>
          <w:tcPr>
            <w:tcW w:w="11343" w:type="dxa"/>
          </w:tcPr>
          <w:p w14:paraId="3EF9128C" w14:textId="77777777" w:rsidR="00065EEE" w:rsidRDefault="003B1E9F" w:rsidP="006F130D">
            <w:pPr>
              <w:rPr>
                <w:rFonts w:ascii="Arial Narrow" w:hAnsi="Arial Narrow" w:cs="Arial"/>
                <w:sz w:val="24"/>
                <w:szCs w:val="24"/>
                <w:lang w:val="en-US"/>
              </w:rPr>
            </w:pPr>
            <w:r w:rsidRPr="003B1E9F">
              <w:rPr>
                <w:rFonts w:ascii="Arial Narrow" w:hAnsi="Arial Narrow" w:cs="Arial"/>
                <w:sz w:val="24"/>
                <w:szCs w:val="24"/>
                <w:lang w:val="en-US"/>
              </w:rPr>
              <w:t>‘area of high biodiversity value outside protected areas’ means land with high biodiversity value as defined Article 7b(3) ofDirective 98/70/EC of the European Parliament and of the Council of 13 October 1998 relating to the quality of petrol and diesel fuels and amending Council Directive 93/12/EEC20;</w:t>
            </w:r>
            <w:r>
              <w:rPr>
                <w:rFonts w:ascii="Arial Narrow" w:hAnsi="Arial Narrow" w:cs="Arial"/>
                <w:sz w:val="24"/>
                <w:szCs w:val="24"/>
                <w:lang w:val="en-US"/>
              </w:rPr>
              <w:t xml:space="preserve"> </w:t>
            </w:r>
          </w:p>
          <w:p w14:paraId="5BBAB2F5" w14:textId="4600C812" w:rsidR="003B1E9F" w:rsidRDefault="003B1E9F" w:rsidP="006F130D">
            <w:pPr>
              <w:rPr>
                <w:rFonts w:ascii="Arial Narrow" w:hAnsi="Arial Narrow" w:cs="Arial"/>
                <w:sz w:val="24"/>
                <w:szCs w:val="24"/>
                <w:lang w:val="en-US"/>
              </w:rPr>
            </w:pPr>
            <w:r w:rsidRPr="003B1E9F">
              <w:rPr>
                <w:rFonts w:ascii="Arial Narrow" w:hAnsi="Arial Narrow" w:cs="Arial"/>
                <w:sz w:val="24"/>
                <w:szCs w:val="24"/>
                <w:lang w:val="en-US"/>
              </w:rPr>
              <w:t>‘drivers of biodiversity and ecosystem change’ means the ones examined in the global assessment report on biodiversity and</w:t>
            </w:r>
            <w:r w:rsidR="006A7975">
              <w:rPr>
                <w:rFonts w:ascii="Arial Narrow" w:hAnsi="Arial Narrow" w:cs="Arial"/>
                <w:sz w:val="24"/>
                <w:szCs w:val="24"/>
                <w:lang w:val="en-US"/>
              </w:rPr>
              <w:t xml:space="preserve"> </w:t>
            </w:r>
            <w:r w:rsidRPr="003B1E9F">
              <w:rPr>
                <w:rFonts w:ascii="Arial Narrow" w:hAnsi="Arial Narrow" w:cs="Arial"/>
                <w:sz w:val="24"/>
                <w:szCs w:val="24"/>
                <w:lang w:val="en-US"/>
              </w:rPr>
              <w:t>ecosystem services of the Intergovernmental Science-Policy Platform on Biodiversity and Ecosystem Services (IPBES), released in May 2019</w:t>
            </w:r>
          </w:p>
          <w:p w14:paraId="0E36BA54" w14:textId="05761CD7" w:rsidR="003B1E9F" w:rsidRPr="003B1E9F" w:rsidRDefault="003B1E9F" w:rsidP="003B1E9F">
            <w:pPr>
              <w:rPr>
                <w:rFonts w:ascii="Arial Narrow" w:hAnsi="Arial Narrow" w:cs="Arial"/>
                <w:sz w:val="24"/>
                <w:szCs w:val="24"/>
                <w:lang w:val="en-US"/>
              </w:rPr>
            </w:pPr>
            <w:r w:rsidRPr="003B1E9F">
              <w:rPr>
                <w:rFonts w:ascii="Arial Narrow" w:hAnsi="Arial Narrow" w:cs="Arial"/>
                <w:sz w:val="24"/>
                <w:szCs w:val="24"/>
                <w:lang w:val="en-US"/>
              </w:rPr>
              <w:t>1. Share of all investments in investee companies that do not assess, monitor or control the pressures corresponding to the indirect and direct drivers of biodiversity and ecosystem change2. Share of all investee companies that that do not assess, monitoror control the pressures corresponding to the indirect and direct drivers of biodiversity and ecosystem chan</w:t>
            </w:r>
            <w:r>
              <w:rPr>
                <w:rFonts w:ascii="Arial Narrow" w:hAnsi="Arial Narrow" w:cs="Arial"/>
                <w:sz w:val="24"/>
                <w:szCs w:val="24"/>
                <w:lang w:val="en-US"/>
              </w:rPr>
              <w:t>ge.</w:t>
            </w:r>
          </w:p>
        </w:tc>
      </w:tr>
      <w:tr w:rsidR="002E0DB0" w:rsidRPr="007A6D7F" w14:paraId="13FE842B" w14:textId="77777777" w:rsidTr="007A6D7F">
        <w:trPr>
          <w:trHeight w:val="49"/>
        </w:trPr>
        <w:tc>
          <w:tcPr>
            <w:tcW w:w="2972" w:type="dxa"/>
            <w:shd w:val="clear" w:color="auto" w:fill="C5E0B3" w:themeFill="accent6" w:themeFillTint="66"/>
          </w:tcPr>
          <w:p w14:paraId="7EFC9274" w14:textId="743A604E" w:rsidR="002E0DB0" w:rsidRPr="007A6D7F" w:rsidRDefault="002E0DB0" w:rsidP="002E0DB0">
            <w:pPr>
              <w:rPr>
                <w:rFonts w:ascii="Arial Narrow" w:hAnsi="Arial Narrow" w:cs="Arial"/>
                <w:sz w:val="24"/>
                <w:szCs w:val="24"/>
              </w:rPr>
            </w:pPr>
            <w:r w:rsidRPr="007A6D7F">
              <w:rPr>
                <w:rFonts w:ascii="Arial Narrow" w:hAnsi="Arial Narrow" w:cs="Arial"/>
                <w:sz w:val="24"/>
                <w:szCs w:val="24"/>
              </w:rPr>
              <w:lastRenderedPageBreak/>
              <w:t>Informacje uzupełniające</w:t>
            </w:r>
          </w:p>
        </w:tc>
        <w:tc>
          <w:tcPr>
            <w:tcW w:w="11343" w:type="dxa"/>
          </w:tcPr>
          <w:p w14:paraId="68A999A6" w14:textId="77777777" w:rsidR="003B1E9F" w:rsidRPr="003B1E9F" w:rsidRDefault="003B1E9F" w:rsidP="003B1E9F">
            <w:pPr>
              <w:rPr>
                <w:rFonts w:ascii="Arial Narrow" w:hAnsi="Arial Narrow" w:cs="Arial"/>
                <w:sz w:val="24"/>
                <w:szCs w:val="24"/>
              </w:rPr>
            </w:pPr>
            <w:r w:rsidRPr="003B1E9F">
              <w:rPr>
                <w:rFonts w:ascii="Arial Narrow" w:hAnsi="Arial Narrow" w:cs="Arial"/>
                <w:sz w:val="24"/>
                <w:szCs w:val="24"/>
              </w:rPr>
              <w:t xml:space="preserve">Spółka odpowiada na pytania w formie TAK/NIE: </w:t>
            </w:r>
          </w:p>
          <w:p w14:paraId="4D785E48" w14:textId="77777777" w:rsidR="003B1E9F" w:rsidRPr="003B1E9F" w:rsidRDefault="003B1E9F" w:rsidP="003B1E9F">
            <w:pPr>
              <w:rPr>
                <w:rFonts w:ascii="Arial Narrow" w:hAnsi="Arial Narrow" w:cs="Arial"/>
                <w:sz w:val="24"/>
                <w:szCs w:val="24"/>
              </w:rPr>
            </w:pPr>
            <w:r w:rsidRPr="003B1E9F">
              <w:rPr>
                <w:rFonts w:ascii="Arial Narrow" w:hAnsi="Arial Narrow" w:cs="Arial"/>
                <w:sz w:val="24"/>
                <w:szCs w:val="24"/>
              </w:rPr>
              <w:t>1. Czy grupa i spółki wchodzące w skład grupy kwalifikuje się jako spółki będące narażone na ryzyko bioróżnorodności i ochrony ekosystemów?</w:t>
            </w:r>
          </w:p>
          <w:p w14:paraId="1DC5CCFF" w14:textId="77777777" w:rsidR="003B1E9F" w:rsidRPr="003B1E9F" w:rsidRDefault="003B1E9F" w:rsidP="003B1E9F">
            <w:pPr>
              <w:rPr>
                <w:rFonts w:ascii="Arial Narrow" w:hAnsi="Arial Narrow" w:cs="Arial"/>
                <w:sz w:val="24"/>
                <w:szCs w:val="24"/>
              </w:rPr>
            </w:pPr>
            <w:r w:rsidRPr="003B1E9F">
              <w:rPr>
                <w:rFonts w:ascii="Arial Narrow" w:hAnsi="Arial Narrow" w:cs="Arial"/>
                <w:sz w:val="24"/>
                <w:szCs w:val="24"/>
              </w:rPr>
              <w:t xml:space="preserve">2. Jeśli TAK- czy te spółki, których to dotyczy mają polityki bioróżnorodności i ochrony ekosystemów. </w:t>
            </w:r>
          </w:p>
          <w:p w14:paraId="48560823" w14:textId="77777777" w:rsidR="003B1E9F" w:rsidRPr="003B1E9F" w:rsidRDefault="003B1E9F" w:rsidP="003B1E9F">
            <w:pPr>
              <w:rPr>
                <w:rFonts w:ascii="Arial Narrow" w:hAnsi="Arial Narrow" w:cs="Arial"/>
                <w:sz w:val="24"/>
                <w:szCs w:val="24"/>
              </w:rPr>
            </w:pPr>
            <w:r w:rsidRPr="003B1E9F">
              <w:rPr>
                <w:rFonts w:ascii="Arial Narrow" w:hAnsi="Arial Narrow" w:cs="Arial"/>
                <w:sz w:val="24"/>
                <w:szCs w:val="24"/>
              </w:rPr>
              <w:t xml:space="preserve">3.Czy spółka na szczycie grupy kapitałowej ma taką politykę adresującą te sprawy dla wszystkich spółek w grupie? </w:t>
            </w:r>
          </w:p>
          <w:p w14:paraId="2782F4B8" w14:textId="77777777" w:rsidR="003B1E9F" w:rsidRPr="003B1E9F" w:rsidRDefault="003B1E9F" w:rsidP="003B1E9F">
            <w:pPr>
              <w:rPr>
                <w:rFonts w:ascii="Arial Narrow" w:hAnsi="Arial Narrow" w:cs="Arial"/>
                <w:sz w:val="24"/>
                <w:szCs w:val="24"/>
              </w:rPr>
            </w:pPr>
            <w:r w:rsidRPr="003B1E9F">
              <w:rPr>
                <w:rFonts w:ascii="Arial Narrow" w:hAnsi="Arial Narrow" w:cs="Arial"/>
                <w:sz w:val="24"/>
                <w:szCs w:val="24"/>
              </w:rPr>
              <w:t xml:space="preserve">4. Jeśli jest polityka - czy prowadzi regularny monitoring zgodności z polityką? </w:t>
            </w:r>
          </w:p>
          <w:p w14:paraId="65F2EDB0" w14:textId="77777777" w:rsidR="003B1E9F" w:rsidRPr="003B1E9F" w:rsidRDefault="003B1E9F" w:rsidP="003B1E9F">
            <w:pPr>
              <w:rPr>
                <w:rFonts w:ascii="Arial Narrow" w:hAnsi="Arial Narrow" w:cs="Arial"/>
                <w:sz w:val="24"/>
                <w:szCs w:val="24"/>
              </w:rPr>
            </w:pPr>
            <w:r w:rsidRPr="003B1E9F">
              <w:rPr>
                <w:rFonts w:ascii="Arial Narrow" w:hAnsi="Arial Narrow" w:cs="Arial"/>
                <w:sz w:val="24"/>
                <w:szCs w:val="24"/>
              </w:rPr>
              <w:t xml:space="preserve">5. Jeśli jest polityka -czy przedsiębiorstwo kontroluje swój wpływ na bioróżnorodność? </w:t>
            </w:r>
          </w:p>
          <w:p w14:paraId="339577A4" w14:textId="77777777" w:rsidR="003B1E9F" w:rsidRPr="003B1E9F" w:rsidRDefault="003B1E9F" w:rsidP="003B1E9F">
            <w:pPr>
              <w:rPr>
                <w:rFonts w:ascii="Arial Narrow" w:hAnsi="Arial Narrow" w:cs="Arial"/>
                <w:sz w:val="24"/>
                <w:szCs w:val="24"/>
              </w:rPr>
            </w:pPr>
            <w:r w:rsidRPr="003B1E9F">
              <w:rPr>
                <w:rFonts w:ascii="Arial Narrow" w:hAnsi="Arial Narrow" w:cs="Arial"/>
                <w:sz w:val="24"/>
                <w:szCs w:val="24"/>
              </w:rPr>
              <w:t xml:space="preserve">6. Czy polityka podlega regularnym przeglądom? </w:t>
            </w:r>
          </w:p>
          <w:p w14:paraId="081BAE57" w14:textId="77777777" w:rsidR="003B1E9F" w:rsidRPr="003B1E9F" w:rsidRDefault="003B1E9F" w:rsidP="003B1E9F">
            <w:pPr>
              <w:rPr>
                <w:rFonts w:ascii="Arial Narrow" w:hAnsi="Arial Narrow" w:cs="Arial"/>
                <w:sz w:val="24"/>
                <w:szCs w:val="24"/>
              </w:rPr>
            </w:pPr>
            <w:r w:rsidRPr="003B1E9F">
              <w:rPr>
                <w:rFonts w:ascii="Arial Narrow" w:hAnsi="Arial Narrow" w:cs="Arial"/>
                <w:sz w:val="24"/>
                <w:szCs w:val="24"/>
              </w:rPr>
              <w:t xml:space="preserve">Polityka rozumiana jest jako odrębny dokument lub wyraźnie wyodrębniona części szerszego dokumentu </w:t>
            </w:r>
          </w:p>
          <w:p w14:paraId="34577DE7" w14:textId="77777777" w:rsidR="003778E4" w:rsidRDefault="003778E4" w:rsidP="003778E4">
            <w:pPr>
              <w:rPr>
                <w:rFonts w:ascii="Arial Narrow" w:hAnsi="Arial Narrow" w:cs="Arial"/>
                <w:sz w:val="24"/>
                <w:szCs w:val="24"/>
              </w:rPr>
            </w:pPr>
          </w:p>
          <w:p w14:paraId="447E86BA" w14:textId="77777777" w:rsidR="003B1E9F" w:rsidRDefault="003B1E9F" w:rsidP="003778E4">
            <w:pPr>
              <w:rPr>
                <w:rFonts w:ascii="Arial Narrow" w:hAnsi="Arial Narrow" w:cs="Arial"/>
                <w:sz w:val="24"/>
                <w:szCs w:val="24"/>
              </w:rPr>
            </w:pPr>
            <w:r>
              <w:rPr>
                <w:rFonts w:ascii="Arial Narrow" w:hAnsi="Arial Narrow" w:cs="Arial"/>
                <w:sz w:val="24"/>
                <w:szCs w:val="24"/>
              </w:rPr>
              <w:t xml:space="preserve">W przypadku, gdy ujawniającą informacje jest instytucja finansowa jak np. bank czy ubezpieczyciel to instytucja taka raportuje za siebie, ujawnianie to nie dotyczy portfela danej instytucji. </w:t>
            </w:r>
          </w:p>
          <w:p w14:paraId="2D302980" w14:textId="77777777" w:rsidR="003B1E9F" w:rsidRDefault="003B1E9F" w:rsidP="003778E4">
            <w:pPr>
              <w:rPr>
                <w:rFonts w:ascii="Arial Narrow" w:hAnsi="Arial Narrow" w:cs="Arial"/>
                <w:sz w:val="24"/>
                <w:szCs w:val="24"/>
              </w:rPr>
            </w:pPr>
          </w:p>
          <w:p w14:paraId="7522ADD8" w14:textId="77777777" w:rsidR="003B1E9F" w:rsidRDefault="003B1E9F" w:rsidP="003778E4">
            <w:pPr>
              <w:rPr>
                <w:rFonts w:ascii="Arial Narrow" w:hAnsi="Arial Narrow" w:cs="Arial"/>
                <w:sz w:val="24"/>
                <w:szCs w:val="24"/>
              </w:rPr>
            </w:pPr>
            <w:r w:rsidRPr="003B1E9F">
              <w:rPr>
                <w:rFonts w:ascii="Arial Narrow" w:hAnsi="Arial Narrow" w:cs="Arial"/>
                <w:sz w:val="24"/>
                <w:szCs w:val="24"/>
              </w:rPr>
              <w:t>Pod pojęciem praktyk należy  rozumieć politykę</w:t>
            </w:r>
          </w:p>
          <w:p w14:paraId="5C322BAD" w14:textId="77777777" w:rsidR="003B1E9F" w:rsidRDefault="003B1E9F" w:rsidP="003778E4">
            <w:pPr>
              <w:rPr>
                <w:rFonts w:ascii="Arial Narrow" w:hAnsi="Arial Narrow" w:cs="Arial"/>
                <w:sz w:val="24"/>
                <w:szCs w:val="24"/>
              </w:rPr>
            </w:pPr>
          </w:p>
          <w:p w14:paraId="3A8B7B1B" w14:textId="20D471C6" w:rsidR="003B1E9F" w:rsidRPr="00BF46C7" w:rsidRDefault="003B1E9F" w:rsidP="003778E4">
            <w:pPr>
              <w:rPr>
                <w:rFonts w:ascii="Arial Narrow" w:hAnsi="Arial Narrow" w:cs="Arial"/>
                <w:sz w:val="24"/>
                <w:szCs w:val="24"/>
              </w:rPr>
            </w:pPr>
            <w:r>
              <w:rPr>
                <w:rFonts w:ascii="Arial Narrow" w:hAnsi="Arial Narrow" w:cs="Arial"/>
                <w:sz w:val="24"/>
                <w:szCs w:val="24"/>
              </w:rPr>
              <w:t xml:space="preserve">Wyłącznie wszystkie pozytywne odpowiedzi (TAK) umożliwiają </w:t>
            </w:r>
            <w:r w:rsidR="006A7975">
              <w:rPr>
                <w:rFonts w:ascii="Arial Narrow" w:hAnsi="Arial Narrow" w:cs="Arial"/>
                <w:sz w:val="24"/>
                <w:szCs w:val="24"/>
              </w:rPr>
              <w:t xml:space="preserve">uznanie, że dana organizacja spełnia </w:t>
            </w:r>
          </w:p>
        </w:tc>
      </w:tr>
    </w:tbl>
    <w:p w14:paraId="2EE17BAE" w14:textId="4465CC9B" w:rsidR="002E0DB0" w:rsidRDefault="002E0DB0">
      <w:pPr>
        <w:rPr>
          <w:rFonts w:ascii="Arial Narrow" w:hAnsi="Arial Narrow" w:cs="Arial"/>
          <w:sz w:val="24"/>
          <w:szCs w:val="24"/>
        </w:rPr>
      </w:pPr>
    </w:p>
    <w:p w14:paraId="106736BF" w14:textId="77777777" w:rsidR="00BF46C7" w:rsidRPr="007A6D7F" w:rsidRDefault="00BF46C7">
      <w:pPr>
        <w:rPr>
          <w:rFonts w:ascii="Arial Narrow" w:hAnsi="Arial Narrow" w:cs="Arial"/>
          <w:sz w:val="24"/>
          <w:szCs w:val="24"/>
        </w:rPr>
      </w:pPr>
    </w:p>
    <w:tbl>
      <w:tblPr>
        <w:tblStyle w:val="Tabela-Siatka"/>
        <w:tblW w:w="10738" w:type="dxa"/>
        <w:tblInd w:w="1627" w:type="dxa"/>
        <w:tblLook w:val="04A0" w:firstRow="1" w:lastRow="0" w:firstColumn="1" w:lastColumn="0" w:noHBand="0" w:noVBand="1"/>
      </w:tblPr>
      <w:tblGrid>
        <w:gridCol w:w="5665"/>
        <w:gridCol w:w="2410"/>
        <w:gridCol w:w="2663"/>
      </w:tblGrid>
      <w:tr w:rsidR="006A7975" w:rsidRPr="007A6D7F" w14:paraId="664A0856" w14:textId="4D6A9657" w:rsidTr="00A476E2">
        <w:trPr>
          <w:trHeight w:val="457"/>
        </w:trPr>
        <w:tc>
          <w:tcPr>
            <w:tcW w:w="10738" w:type="dxa"/>
            <w:gridSpan w:val="3"/>
            <w:shd w:val="clear" w:color="auto" w:fill="C5E0B3" w:themeFill="accent6" w:themeFillTint="66"/>
          </w:tcPr>
          <w:p w14:paraId="0D165622" w14:textId="7C00CE8C" w:rsidR="006A7975" w:rsidRPr="00593348" w:rsidRDefault="006A7975" w:rsidP="007A6D7F">
            <w:pPr>
              <w:jc w:val="center"/>
              <w:rPr>
                <w:rFonts w:ascii="Arial Narrow" w:hAnsi="Arial Narrow" w:cs="Arial"/>
                <w:b/>
                <w:bCs/>
                <w:sz w:val="24"/>
                <w:szCs w:val="24"/>
              </w:rPr>
            </w:pPr>
            <w:r w:rsidRPr="00593348">
              <w:rPr>
                <w:rFonts w:ascii="Arial Narrow" w:hAnsi="Arial Narrow" w:cs="Arial"/>
                <w:b/>
                <w:bCs/>
                <w:sz w:val="24"/>
                <w:szCs w:val="24"/>
              </w:rPr>
              <w:t xml:space="preserve">Przykładowa tabela do </w:t>
            </w:r>
            <w:r w:rsidRPr="00593348">
              <w:rPr>
                <w:rFonts w:ascii="Arial Narrow" w:hAnsi="Arial Narrow" w:cs="Arial"/>
                <w:b/>
                <w:bCs/>
                <w:sz w:val="24"/>
                <w:szCs w:val="24"/>
                <w:shd w:val="clear" w:color="auto" w:fill="C5E0B3" w:themeFill="accent6" w:themeFillTint="66"/>
              </w:rPr>
              <w:t>zebrania informacji</w:t>
            </w:r>
          </w:p>
        </w:tc>
      </w:tr>
      <w:tr w:rsidR="006A7975" w:rsidRPr="007A6D7F" w14:paraId="46992EEC" w14:textId="2CF3179E" w:rsidTr="006A7975">
        <w:tc>
          <w:tcPr>
            <w:tcW w:w="5665" w:type="dxa"/>
            <w:shd w:val="clear" w:color="auto" w:fill="E2EFD9" w:themeFill="accent6" w:themeFillTint="33"/>
          </w:tcPr>
          <w:p w14:paraId="427DAF6A" w14:textId="49FEBD16" w:rsidR="006A7975" w:rsidRPr="007A6D7F" w:rsidRDefault="006A7975" w:rsidP="006A7975">
            <w:pPr>
              <w:jc w:val="center"/>
              <w:rPr>
                <w:rFonts w:ascii="Arial Narrow" w:hAnsi="Arial Narrow" w:cs="Arial"/>
                <w:sz w:val="24"/>
                <w:szCs w:val="24"/>
              </w:rPr>
            </w:pPr>
            <w:r w:rsidRPr="007A6D7F">
              <w:rPr>
                <w:rFonts w:ascii="Arial Narrow" w:hAnsi="Arial Narrow" w:cs="Arial"/>
                <w:sz w:val="24"/>
                <w:szCs w:val="24"/>
              </w:rPr>
              <w:t>Treść polecenia</w:t>
            </w:r>
          </w:p>
        </w:tc>
        <w:tc>
          <w:tcPr>
            <w:tcW w:w="2410" w:type="dxa"/>
            <w:shd w:val="clear" w:color="auto" w:fill="E2EFD9" w:themeFill="accent6" w:themeFillTint="33"/>
          </w:tcPr>
          <w:p w14:paraId="6ABF43CE" w14:textId="74FE5BA1" w:rsidR="006A7975" w:rsidRPr="007A6D7F" w:rsidRDefault="006A7975" w:rsidP="006A7975">
            <w:pPr>
              <w:jc w:val="center"/>
              <w:rPr>
                <w:rFonts w:ascii="Arial Narrow" w:hAnsi="Arial Narrow" w:cs="Arial"/>
                <w:sz w:val="24"/>
                <w:szCs w:val="24"/>
              </w:rPr>
            </w:pPr>
            <w:r>
              <w:rPr>
                <w:rFonts w:ascii="Arial Narrow" w:hAnsi="Arial Narrow" w:cs="Arial"/>
                <w:sz w:val="24"/>
                <w:szCs w:val="24"/>
              </w:rPr>
              <w:t>TAK</w:t>
            </w:r>
          </w:p>
        </w:tc>
        <w:tc>
          <w:tcPr>
            <w:tcW w:w="2663" w:type="dxa"/>
            <w:shd w:val="clear" w:color="auto" w:fill="E2EFD9" w:themeFill="accent6" w:themeFillTint="33"/>
          </w:tcPr>
          <w:p w14:paraId="04DDC3E5" w14:textId="327C99D3" w:rsidR="006A7975" w:rsidRDefault="006A7975" w:rsidP="006A7975">
            <w:pPr>
              <w:jc w:val="center"/>
              <w:rPr>
                <w:rFonts w:ascii="Arial Narrow" w:hAnsi="Arial Narrow" w:cs="Arial"/>
                <w:sz w:val="24"/>
                <w:szCs w:val="24"/>
              </w:rPr>
            </w:pPr>
            <w:r>
              <w:rPr>
                <w:rFonts w:ascii="Arial Narrow" w:hAnsi="Arial Narrow" w:cs="Arial"/>
                <w:sz w:val="24"/>
                <w:szCs w:val="24"/>
              </w:rPr>
              <w:t>NIE</w:t>
            </w:r>
          </w:p>
        </w:tc>
      </w:tr>
      <w:tr w:rsidR="006A7975" w:rsidRPr="007A6D7F" w14:paraId="5CD46DC2" w14:textId="4AB0E435" w:rsidTr="006A7975">
        <w:trPr>
          <w:trHeight w:val="482"/>
        </w:trPr>
        <w:tc>
          <w:tcPr>
            <w:tcW w:w="5665" w:type="dxa"/>
          </w:tcPr>
          <w:p w14:paraId="314BA9F1" w14:textId="5A1EC236" w:rsidR="006A7975" w:rsidRPr="00CC5632" w:rsidRDefault="006A7975" w:rsidP="002E0DB0">
            <w:pPr>
              <w:rPr>
                <w:rFonts w:ascii="Arial Narrow" w:hAnsi="Arial Narrow" w:cs="Arial"/>
                <w:sz w:val="24"/>
                <w:szCs w:val="24"/>
              </w:rPr>
            </w:pPr>
            <w:r w:rsidRPr="006A7975">
              <w:rPr>
                <w:rFonts w:ascii="Arial Narrow" w:hAnsi="Arial Narrow" w:cs="Arial"/>
                <w:sz w:val="24"/>
                <w:szCs w:val="24"/>
              </w:rPr>
              <w:t>Czy spółka/spółki wchodzące w skład grupy kwalifikuje się jako spółki będące narażone na ryzyko bioróżnorodności i ochrony ekosystemów?</w:t>
            </w:r>
          </w:p>
        </w:tc>
        <w:tc>
          <w:tcPr>
            <w:tcW w:w="2410" w:type="dxa"/>
          </w:tcPr>
          <w:p w14:paraId="3EC34FCD" w14:textId="77777777" w:rsidR="006A7975" w:rsidRPr="007A6D7F" w:rsidRDefault="006A7975">
            <w:pPr>
              <w:rPr>
                <w:rFonts w:ascii="Arial Narrow" w:hAnsi="Arial Narrow" w:cs="Arial"/>
                <w:sz w:val="24"/>
                <w:szCs w:val="24"/>
              </w:rPr>
            </w:pPr>
          </w:p>
        </w:tc>
        <w:tc>
          <w:tcPr>
            <w:tcW w:w="2663" w:type="dxa"/>
          </w:tcPr>
          <w:p w14:paraId="7F2FB20C" w14:textId="77777777" w:rsidR="006A7975" w:rsidRPr="007A6D7F" w:rsidRDefault="006A7975">
            <w:pPr>
              <w:rPr>
                <w:rFonts w:ascii="Arial Narrow" w:hAnsi="Arial Narrow" w:cs="Arial"/>
                <w:sz w:val="24"/>
                <w:szCs w:val="24"/>
              </w:rPr>
            </w:pPr>
          </w:p>
        </w:tc>
      </w:tr>
      <w:tr w:rsidR="006A7975" w:rsidRPr="007A6D7F" w14:paraId="0A72F99B" w14:textId="63CE6CAB" w:rsidTr="006A7975">
        <w:trPr>
          <w:trHeight w:val="482"/>
        </w:trPr>
        <w:tc>
          <w:tcPr>
            <w:tcW w:w="5665" w:type="dxa"/>
          </w:tcPr>
          <w:p w14:paraId="4093A88C" w14:textId="2E40AABB" w:rsidR="006A7975" w:rsidRPr="003778E4" w:rsidRDefault="006A7975" w:rsidP="002E0DB0">
            <w:pPr>
              <w:rPr>
                <w:rFonts w:ascii="Arial Narrow" w:hAnsi="Arial Narrow" w:cs="Arial"/>
                <w:sz w:val="24"/>
                <w:szCs w:val="24"/>
              </w:rPr>
            </w:pPr>
            <w:r w:rsidRPr="006A7975">
              <w:rPr>
                <w:rFonts w:ascii="Arial Narrow" w:hAnsi="Arial Narrow" w:cs="Arial"/>
                <w:sz w:val="24"/>
                <w:szCs w:val="24"/>
              </w:rPr>
              <w:t>Jeśli TAK- czy grupa i te spółki, których to dotyczy mają polityki bioróżnorodności i ochrony ekosystemów.</w:t>
            </w:r>
          </w:p>
        </w:tc>
        <w:tc>
          <w:tcPr>
            <w:tcW w:w="2410" w:type="dxa"/>
          </w:tcPr>
          <w:p w14:paraId="7BB5D9D7" w14:textId="77777777" w:rsidR="006A7975" w:rsidRPr="007A6D7F" w:rsidRDefault="006A7975">
            <w:pPr>
              <w:rPr>
                <w:rFonts w:ascii="Arial Narrow" w:hAnsi="Arial Narrow" w:cs="Arial"/>
                <w:sz w:val="24"/>
                <w:szCs w:val="24"/>
              </w:rPr>
            </w:pPr>
          </w:p>
        </w:tc>
        <w:tc>
          <w:tcPr>
            <w:tcW w:w="2663" w:type="dxa"/>
          </w:tcPr>
          <w:p w14:paraId="012BD522" w14:textId="77777777" w:rsidR="006A7975" w:rsidRPr="007A6D7F" w:rsidRDefault="006A7975">
            <w:pPr>
              <w:rPr>
                <w:rFonts w:ascii="Arial Narrow" w:hAnsi="Arial Narrow" w:cs="Arial"/>
                <w:sz w:val="24"/>
                <w:szCs w:val="24"/>
              </w:rPr>
            </w:pPr>
          </w:p>
        </w:tc>
      </w:tr>
      <w:tr w:rsidR="006A7975" w:rsidRPr="007A6D7F" w14:paraId="74A52FB5" w14:textId="099C3A3E" w:rsidTr="006A7975">
        <w:trPr>
          <w:trHeight w:val="482"/>
        </w:trPr>
        <w:tc>
          <w:tcPr>
            <w:tcW w:w="5665" w:type="dxa"/>
          </w:tcPr>
          <w:p w14:paraId="2D2EAFE4" w14:textId="73AB5587" w:rsidR="006A7975" w:rsidRPr="003778E4" w:rsidRDefault="006A7975" w:rsidP="002E0DB0">
            <w:pPr>
              <w:rPr>
                <w:rFonts w:ascii="Arial Narrow" w:hAnsi="Arial Narrow" w:cs="Arial"/>
                <w:sz w:val="24"/>
                <w:szCs w:val="24"/>
              </w:rPr>
            </w:pPr>
            <w:r w:rsidRPr="006A7975">
              <w:rPr>
                <w:rFonts w:ascii="Arial Narrow" w:hAnsi="Arial Narrow" w:cs="Arial"/>
                <w:sz w:val="24"/>
                <w:szCs w:val="24"/>
              </w:rPr>
              <w:t>Czy spółka na szczycie grupy kapitałowej ma politykę adresującą te sprawy dla wszystkich spółek w grupie?</w:t>
            </w:r>
          </w:p>
        </w:tc>
        <w:tc>
          <w:tcPr>
            <w:tcW w:w="2410" w:type="dxa"/>
          </w:tcPr>
          <w:p w14:paraId="731E836F" w14:textId="77777777" w:rsidR="006A7975" w:rsidRPr="007A6D7F" w:rsidRDefault="006A7975">
            <w:pPr>
              <w:rPr>
                <w:rFonts w:ascii="Arial Narrow" w:hAnsi="Arial Narrow" w:cs="Arial"/>
                <w:sz w:val="24"/>
                <w:szCs w:val="24"/>
              </w:rPr>
            </w:pPr>
          </w:p>
        </w:tc>
        <w:tc>
          <w:tcPr>
            <w:tcW w:w="2663" w:type="dxa"/>
          </w:tcPr>
          <w:p w14:paraId="49731B8A" w14:textId="77777777" w:rsidR="006A7975" w:rsidRPr="007A6D7F" w:rsidRDefault="006A7975">
            <w:pPr>
              <w:rPr>
                <w:rFonts w:ascii="Arial Narrow" w:hAnsi="Arial Narrow" w:cs="Arial"/>
                <w:sz w:val="24"/>
                <w:szCs w:val="24"/>
              </w:rPr>
            </w:pPr>
          </w:p>
        </w:tc>
      </w:tr>
      <w:tr w:rsidR="006A7975" w:rsidRPr="007A6D7F" w14:paraId="1DD56288" w14:textId="5FF45941" w:rsidTr="006A7975">
        <w:trPr>
          <w:trHeight w:val="482"/>
        </w:trPr>
        <w:tc>
          <w:tcPr>
            <w:tcW w:w="5665" w:type="dxa"/>
          </w:tcPr>
          <w:p w14:paraId="3588D0F7" w14:textId="244F37DF" w:rsidR="006A7975" w:rsidRPr="003778E4" w:rsidRDefault="006A7975" w:rsidP="002E0DB0">
            <w:pPr>
              <w:rPr>
                <w:rFonts w:ascii="Arial Narrow" w:hAnsi="Arial Narrow" w:cs="Arial"/>
                <w:sz w:val="24"/>
                <w:szCs w:val="24"/>
              </w:rPr>
            </w:pPr>
            <w:r w:rsidRPr="006A7975">
              <w:rPr>
                <w:rFonts w:ascii="Arial Narrow" w:hAnsi="Arial Narrow" w:cs="Arial"/>
                <w:sz w:val="24"/>
                <w:szCs w:val="24"/>
              </w:rPr>
              <w:t>Jeśli jest polityka - czy prowadzi regularny monitoring zgodności z polityką?</w:t>
            </w:r>
          </w:p>
        </w:tc>
        <w:tc>
          <w:tcPr>
            <w:tcW w:w="2410" w:type="dxa"/>
          </w:tcPr>
          <w:p w14:paraId="5CC572E3" w14:textId="77777777" w:rsidR="006A7975" w:rsidRPr="007A6D7F" w:rsidRDefault="006A7975">
            <w:pPr>
              <w:rPr>
                <w:rFonts w:ascii="Arial Narrow" w:hAnsi="Arial Narrow" w:cs="Arial"/>
                <w:sz w:val="24"/>
                <w:szCs w:val="24"/>
              </w:rPr>
            </w:pPr>
          </w:p>
        </w:tc>
        <w:tc>
          <w:tcPr>
            <w:tcW w:w="2663" w:type="dxa"/>
          </w:tcPr>
          <w:p w14:paraId="3C110C26" w14:textId="77777777" w:rsidR="006A7975" w:rsidRPr="007A6D7F" w:rsidRDefault="006A7975">
            <w:pPr>
              <w:rPr>
                <w:rFonts w:ascii="Arial Narrow" w:hAnsi="Arial Narrow" w:cs="Arial"/>
                <w:sz w:val="24"/>
                <w:szCs w:val="24"/>
              </w:rPr>
            </w:pPr>
          </w:p>
        </w:tc>
      </w:tr>
      <w:tr w:rsidR="006A7975" w:rsidRPr="007A6D7F" w14:paraId="6E8C4DCD" w14:textId="750BD91B" w:rsidTr="006A7975">
        <w:trPr>
          <w:trHeight w:val="482"/>
        </w:trPr>
        <w:tc>
          <w:tcPr>
            <w:tcW w:w="5665" w:type="dxa"/>
          </w:tcPr>
          <w:p w14:paraId="1DB6829E" w14:textId="6FE99118" w:rsidR="006A7975" w:rsidRPr="003778E4" w:rsidRDefault="006A7975" w:rsidP="002E0DB0">
            <w:pPr>
              <w:rPr>
                <w:rFonts w:ascii="Arial Narrow" w:hAnsi="Arial Narrow" w:cs="Arial"/>
                <w:sz w:val="24"/>
                <w:szCs w:val="24"/>
              </w:rPr>
            </w:pPr>
            <w:r w:rsidRPr="006A7975">
              <w:rPr>
                <w:rFonts w:ascii="Arial Narrow" w:hAnsi="Arial Narrow" w:cs="Arial"/>
                <w:sz w:val="24"/>
                <w:szCs w:val="24"/>
              </w:rPr>
              <w:lastRenderedPageBreak/>
              <w:t>Jeśli jest polityka -czy przedsiębiorstwo kontroluje swój wpływ na bioróżnorodność?</w:t>
            </w:r>
          </w:p>
        </w:tc>
        <w:tc>
          <w:tcPr>
            <w:tcW w:w="2410" w:type="dxa"/>
          </w:tcPr>
          <w:p w14:paraId="7DBD9F11" w14:textId="77777777" w:rsidR="006A7975" w:rsidRPr="007A6D7F" w:rsidRDefault="006A7975">
            <w:pPr>
              <w:rPr>
                <w:rFonts w:ascii="Arial Narrow" w:hAnsi="Arial Narrow" w:cs="Arial"/>
                <w:sz w:val="24"/>
                <w:szCs w:val="24"/>
              </w:rPr>
            </w:pPr>
          </w:p>
        </w:tc>
        <w:tc>
          <w:tcPr>
            <w:tcW w:w="2663" w:type="dxa"/>
          </w:tcPr>
          <w:p w14:paraId="6294CFB3" w14:textId="77777777" w:rsidR="006A7975" w:rsidRPr="007A6D7F" w:rsidRDefault="006A7975">
            <w:pPr>
              <w:rPr>
                <w:rFonts w:ascii="Arial Narrow" w:hAnsi="Arial Narrow" w:cs="Arial"/>
                <w:sz w:val="24"/>
                <w:szCs w:val="24"/>
              </w:rPr>
            </w:pPr>
          </w:p>
        </w:tc>
      </w:tr>
      <w:tr w:rsidR="006A7975" w:rsidRPr="007A6D7F" w14:paraId="09CEC155" w14:textId="77777777" w:rsidTr="006A7975">
        <w:trPr>
          <w:trHeight w:val="482"/>
        </w:trPr>
        <w:tc>
          <w:tcPr>
            <w:tcW w:w="5665" w:type="dxa"/>
          </w:tcPr>
          <w:p w14:paraId="46C6A996" w14:textId="1DC59BE7" w:rsidR="006A7975" w:rsidRPr="006A7975" w:rsidRDefault="006A7975" w:rsidP="002E0DB0">
            <w:pPr>
              <w:rPr>
                <w:rFonts w:ascii="Arial Narrow" w:hAnsi="Arial Narrow" w:cs="Arial"/>
                <w:sz w:val="24"/>
                <w:szCs w:val="24"/>
              </w:rPr>
            </w:pPr>
            <w:r w:rsidRPr="006A7975">
              <w:rPr>
                <w:rFonts w:ascii="Arial Narrow" w:hAnsi="Arial Narrow" w:cs="Arial"/>
                <w:sz w:val="24"/>
                <w:szCs w:val="24"/>
              </w:rPr>
              <w:t>Czy polityka podlega regularnym przeglądom?</w:t>
            </w:r>
          </w:p>
        </w:tc>
        <w:tc>
          <w:tcPr>
            <w:tcW w:w="2410" w:type="dxa"/>
          </w:tcPr>
          <w:p w14:paraId="4E64B6C8" w14:textId="77777777" w:rsidR="006A7975" w:rsidRPr="007A6D7F" w:rsidRDefault="006A7975">
            <w:pPr>
              <w:rPr>
                <w:rFonts w:ascii="Arial Narrow" w:hAnsi="Arial Narrow" w:cs="Arial"/>
                <w:sz w:val="24"/>
                <w:szCs w:val="24"/>
              </w:rPr>
            </w:pPr>
          </w:p>
        </w:tc>
        <w:tc>
          <w:tcPr>
            <w:tcW w:w="2663" w:type="dxa"/>
          </w:tcPr>
          <w:p w14:paraId="08C507F4" w14:textId="77777777" w:rsidR="006A7975" w:rsidRPr="007A6D7F" w:rsidRDefault="006A7975">
            <w:pPr>
              <w:rPr>
                <w:rFonts w:ascii="Arial Narrow" w:hAnsi="Arial Narrow" w:cs="Arial"/>
                <w:sz w:val="24"/>
                <w:szCs w:val="24"/>
              </w:rPr>
            </w:pPr>
          </w:p>
        </w:tc>
      </w:tr>
    </w:tbl>
    <w:p w14:paraId="3AC5BD3B" w14:textId="27AFBB11" w:rsidR="00D57E26" w:rsidRDefault="00D57E26"/>
    <w:sectPr w:rsidR="00D57E26" w:rsidSect="00E941B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81F32"/>
    <w:multiLevelType w:val="hybridMultilevel"/>
    <w:tmpl w:val="DAC40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764566"/>
    <w:multiLevelType w:val="hybridMultilevel"/>
    <w:tmpl w:val="34F8646A"/>
    <w:lvl w:ilvl="0" w:tplc="AEBCDB2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2556B5"/>
    <w:multiLevelType w:val="hybridMultilevel"/>
    <w:tmpl w:val="5658C5AC"/>
    <w:lvl w:ilvl="0" w:tplc="0382D54E">
      <w:start w:val="1"/>
      <w:numFmt w:val="decimal"/>
      <w:lvlText w:val="%1."/>
      <w:lvlJc w:val="left"/>
      <w:pPr>
        <w:ind w:left="42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E32669A"/>
    <w:multiLevelType w:val="hybridMultilevel"/>
    <w:tmpl w:val="321A7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0E876EF"/>
    <w:multiLevelType w:val="hybridMultilevel"/>
    <w:tmpl w:val="1AE65002"/>
    <w:lvl w:ilvl="0" w:tplc="0415000F">
      <w:start w:val="1"/>
      <w:numFmt w:val="decimal"/>
      <w:lvlText w:val="%1."/>
      <w:lvlJc w:val="left"/>
      <w:pPr>
        <w:ind w:left="-514" w:hanging="360"/>
      </w:pPr>
    </w:lvl>
    <w:lvl w:ilvl="1" w:tplc="04150019" w:tentative="1">
      <w:start w:val="1"/>
      <w:numFmt w:val="lowerLetter"/>
      <w:lvlText w:val="%2."/>
      <w:lvlJc w:val="left"/>
      <w:pPr>
        <w:ind w:left="424" w:hanging="360"/>
      </w:pPr>
    </w:lvl>
    <w:lvl w:ilvl="2" w:tplc="0415001B" w:tentative="1">
      <w:start w:val="1"/>
      <w:numFmt w:val="lowerRoman"/>
      <w:lvlText w:val="%3."/>
      <w:lvlJc w:val="right"/>
      <w:pPr>
        <w:ind w:left="1144" w:hanging="180"/>
      </w:pPr>
    </w:lvl>
    <w:lvl w:ilvl="3" w:tplc="0415000F" w:tentative="1">
      <w:start w:val="1"/>
      <w:numFmt w:val="decimal"/>
      <w:lvlText w:val="%4."/>
      <w:lvlJc w:val="left"/>
      <w:pPr>
        <w:ind w:left="1864" w:hanging="360"/>
      </w:pPr>
    </w:lvl>
    <w:lvl w:ilvl="4" w:tplc="04150019" w:tentative="1">
      <w:start w:val="1"/>
      <w:numFmt w:val="lowerLetter"/>
      <w:lvlText w:val="%5."/>
      <w:lvlJc w:val="left"/>
      <w:pPr>
        <w:ind w:left="2584" w:hanging="360"/>
      </w:pPr>
    </w:lvl>
    <w:lvl w:ilvl="5" w:tplc="0415001B" w:tentative="1">
      <w:start w:val="1"/>
      <w:numFmt w:val="lowerRoman"/>
      <w:lvlText w:val="%6."/>
      <w:lvlJc w:val="right"/>
      <w:pPr>
        <w:ind w:left="3304" w:hanging="180"/>
      </w:pPr>
    </w:lvl>
    <w:lvl w:ilvl="6" w:tplc="0415000F" w:tentative="1">
      <w:start w:val="1"/>
      <w:numFmt w:val="decimal"/>
      <w:lvlText w:val="%7."/>
      <w:lvlJc w:val="left"/>
      <w:pPr>
        <w:ind w:left="4024" w:hanging="360"/>
      </w:pPr>
    </w:lvl>
    <w:lvl w:ilvl="7" w:tplc="04150019" w:tentative="1">
      <w:start w:val="1"/>
      <w:numFmt w:val="lowerLetter"/>
      <w:lvlText w:val="%8."/>
      <w:lvlJc w:val="left"/>
      <w:pPr>
        <w:ind w:left="4744" w:hanging="360"/>
      </w:pPr>
    </w:lvl>
    <w:lvl w:ilvl="8" w:tplc="0415001B" w:tentative="1">
      <w:start w:val="1"/>
      <w:numFmt w:val="lowerRoman"/>
      <w:lvlText w:val="%9."/>
      <w:lvlJc w:val="right"/>
      <w:pPr>
        <w:ind w:left="5464" w:hanging="180"/>
      </w:p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B7"/>
    <w:rsid w:val="00065EEE"/>
    <w:rsid w:val="00107C4A"/>
    <w:rsid w:val="0012349A"/>
    <w:rsid w:val="00146053"/>
    <w:rsid w:val="00151760"/>
    <w:rsid w:val="002A018C"/>
    <w:rsid w:val="002D3B5D"/>
    <w:rsid w:val="002E0DB0"/>
    <w:rsid w:val="002E42AD"/>
    <w:rsid w:val="00303994"/>
    <w:rsid w:val="003778E4"/>
    <w:rsid w:val="003B1E9F"/>
    <w:rsid w:val="0056282A"/>
    <w:rsid w:val="00593348"/>
    <w:rsid w:val="005D1DD8"/>
    <w:rsid w:val="006A71E0"/>
    <w:rsid w:val="006A7975"/>
    <w:rsid w:val="006F130D"/>
    <w:rsid w:val="006F6901"/>
    <w:rsid w:val="00712556"/>
    <w:rsid w:val="007A6D7F"/>
    <w:rsid w:val="007C7CEF"/>
    <w:rsid w:val="008019F4"/>
    <w:rsid w:val="00843D64"/>
    <w:rsid w:val="00852E8E"/>
    <w:rsid w:val="00B523AA"/>
    <w:rsid w:val="00B908E9"/>
    <w:rsid w:val="00BA2591"/>
    <w:rsid w:val="00BF46C7"/>
    <w:rsid w:val="00CC5632"/>
    <w:rsid w:val="00D57E26"/>
    <w:rsid w:val="00E94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E61E"/>
  <w15:chartTrackingRefBased/>
  <w15:docId w15:val="{6393A964-DEFD-4269-9299-0D8FC1DB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41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41B7"/>
    <w:rPr>
      <w:rFonts w:ascii="Segoe UI" w:hAnsi="Segoe UI" w:cs="Segoe UI"/>
      <w:sz w:val="18"/>
      <w:szCs w:val="18"/>
    </w:rPr>
  </w:style>
  <w:style w:type="table" w:styleId="Tabela-Siatka">
    <w:name w:val="Table Grid"/>
    <w:basedOn w:val="Standardowy"/>
    <w:uiPriority w:val="39"/>
    <w:rsid w:val="00E9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941B7"/>
    <w:pPr>
      <w:ind w:left="720"/>
      <w:contextualSpacing/>
    </w:pPr>
  </w:style>
  <w:style w:type="character" w:styleId="Hipercze">
    <w:name w:val="Hyperlink"/>
    <w:basedOn w:val="Domylnaczcionkaakapitu"/>
    <w:uiPriority w:val="99"/>
    <w:unhideWhenUsed/>
    <w:rsid w:val="00E941B7"/>
    <w:rPr>
      <w:color w:val="0563C1" w:themeColor="hyperlink"/>
      <w:u w:val="single"/>
    </w:rPr>
  </w:style>
  <w:style w:type="character" w:styleId="Nierozpoznanawzmianka">
    <w:name w:val="Unresolved Mention"/>
    <w:basedOn w:val="Domylnaczcionkaakapitu"/>
    <w:uiPriority w:val="99"/>
    <w:semiHidden/>
    <w:unhideWhenUsed/>
    <w:rsid w:val="00E941B7"/>
    <w:rPr>
      <w:color w:val="605E5C"/>
      <w:shd w:val="clear" w:color="auto" w:fill="E1DFDD"/>
    </w:rPr>
  </w:style>
  <w:style w:type="character" w:customStyle="1" w:styleId="jlqj4b">
    <w:name w:val="jlqj4b"/>
    <w:basedOn w:val="Domylnaczcionkaakapitu"/>
    <w:rsid w:val="00D57E26"/>
  </w:style>
  <w:style w:type="character" w:customStyle="1" w:styleId="viiyi">
    <w:name w:val="viiyi"/>
    <w:basedOn w:val="Domylnaczcionkaakapitu"/>
    <w:rsid w:val="00D5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28334">
      <w:bodyDiv w:val="1"/>
      <w:marLeft w:val="0"/>
      <w:marRight w:val="0"/>
      <w:marTop w:val="0"/>
      <w:marBottom w:val="0"/>
      <w:divBdr>
        <w:top w:val="none" w:sz="0" w:space="0" w:color="auto"/>
        <w:left w:val="none" w:sz="0" w:space="0" w:color="auto"/>
        <w:bottom w:val="none" w:sz="0" w:space="0" w:color="auto"/>
        <w:right w:val="none" w:sz="0" w:space="0" w:color="auto"/>
      </w:divBdr>
    </w:div>
    <w:div w:id="699285806">
      <w:bodyDiv w:val="1"/>
      <w:marLeft w:val="0"/>
      <w:marRight w:val="0"/>
      <w:marTop w:val="0"/>
      <w:marBottom w:val="0"/>
      <w:divBdr>
        <w:top w:val="none" w:sz="0" w:space="0" w:color="auto"/>
        <w:left w:val="none" w:sz="0" w:space="0" w:color="auto"/>
        <w:bottom w:val="none" w:sz="0" w:space="0" w:color="auto"/>
        <w:right w:val="none" w:sz="0" w:space="0" w:color="auto"/>
      </w:divBdr>
    </w:div>
    <w:div w:id="15793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3497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Wicha Agnieszka</dc:creator>
  <cp:keywords/>
  <dc:description/>
  <cp:lastModifiedBy>Magdalena Chodorowska</cp:lastModifiedBy>
  <cp:revision>2</cp:revision>
  <dcterms:created xsi:type="dcterms:W3CDTF">2020-12-21T16:28:00Z</dcterms:created>
  <dcterms:modified xsi:type="dcterms:W3CDTF">2020-12-21T16:28:00Z</dcterms:modified>
</cp:coreProperties>
</file>