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A512" w14:textId="68433D59" w:rsidR="007A6D7F" w:rsidRPr="007A6D7F" w:rsidRDefault="007A6D7F" w:rsidP="007A6D7F">
      <w:pPr>
        <w:jc w:val="center"/>
        <w:rPr>
          <w:rFonts w:ascii="Arial Narrow" w:hAnsi="Arial Narrow" w:cs="Arial"/>
          <w:b/>
          <w:bCs/>
          <w:sz w:val="28"/>
          <w:szCs w:val="28"/>
          <w:u w:val="single"/>
        </w:rPr>
      </w:pPr>
      <w:r w:rsidRPr="007A6D7F">
        <w:rPr>
          <w:rFonts w:ascii="Arial Narrow" w:hAnsi="Arial Narrow" w:cs="Arial"/>
          <w:b/>
          <w:bCs/>
          <w:sz w:val="28"/>
          <w:szCs w:val="28"/>
          <w:u w:val="single"/>
        </w:rPr>
        <w:t xml:space="preserve">WSKAŹNIK </w:t>
      </w:r>
      <w:r w:rsidR="007C7CEF">
        <w:rPr>
          <w:rFonts w:ascii="Arial Narrow" w:hAnsi="Arial Narrow" w:cs="Arial"/>
          <w:b/>
          <w:bCs/>
          <w:sz w:val="28"/>
          <w:szCs w:val="28"/>
          <w:u w:val="single"/>
        </w:rPr>
        <w:t>8</w:t>
      </w:r>
    </w:p>
    <w:p w14:paraId="03B1C0D4" w14:textId="6FC59D3A" w:rsidR="002E0DB0" w:rsidRPr="007A6D7F" w:rsidRDefault="002E0DB0" w:rsidP="002E0DB0">
      <w:pPr>
        <w:rPr>
          <w:rFonts w:ascii="Arial Narrow" w:hAnsi="Arial Narrow" w:cs="Arial"/>
          <w:sz w:val="24"/>
          <w:szCs w:val="24"/>
          <w:u w:val="single"/>
        </w:rPr>
      </w:pPr>
      <w:r w:rsidRPr="007A6D7F">
        <w:rPr>
          <w:rFonts w:ascii="Arial Narrow" w:hAnsi="Arial Narrow" w:cs="Arial"/>
          <w:sz w:val="24"/>
          <w:szCs w:val="24"/>
          <w:u w:val="single"/>
        </w:rPr>
        <w:t>Zastrzeżenia ogóle</w:t>
      </w:r>
    </w:p>
    <w:p w14:paraId="553F2D8D" w14:textId="6895D12A" w:rsidR="002E0DB0" w:rsidRPr="007A6D7F" w:rsidRDefault="002E0DB0" w:rsidP="007A6D7F">
      <w:pPr>
        <w:jc w:val="both"/>
        <w:rPr>
          <w:rFonts w:ascii="Arial Narrow" w:hAnsi="Arial Narrow" w:cs="Arial"/>
          <w:b/>
          <w:bCs/>
          <w:sz w:val="24"/>
          <w:szCs w:val="24"/>
        </w:rPr>
      </w:pPr>
      <w:r w:rsidRPr="007A6D7F">
        <w:rPr>
          <w:rFonts w:ascii="Arial Narrow" w:hAnsi="Arial Narrow" w:cs="Arial"/>
          <w:sz w:val="24"/>
          <w:szCs w:val="24"/>
        </w:rPr>
        <w:t xml:space="preserve">1. Co do zasady powinno się raportować </w:t>
      </w:r>
      <w:r w:rsidRPr="007A6D7F">
        <w:rPr>
          <w:rFonts w:ascii="Arial Narrow" w:hAnsi="Arial Narrow" w:cs="Arial"/>
          <w:b/>
          <w:bCs/>
          <w:sz w:val="24"/>
          <w:szCs w:val="24"/>
          <w:u w:val="single"/>
        </w:rPr>
        <w:t>w ujęciu grupy, a nie podmiotu.</w:t>
      </w:r>
      <w:r w:rsidRPr="007A6D7F">
        <w:rPr>
          <w:rFonts w:ascii="Arial Narrow" w:hAnsi="Arial Narrow" w:cs="Arial"/>
          <w:sz w:val="24"/>
          <w:szCs w:val="24"/>
        </w:rPr>
        <w:t xml:space="preserve"> </w:t>
      </w:r>
      <w:r w:rsidR="007A6D7F">
        <w:rPr>
          <w:rFonts w:ascii="Arial Narrow" w:hAnsi="Arial Narrow" w:cs="Arial"/>
          <w:sz w:val="24"/>
          <w:szCs w:val="24"/>
        </w:rPr>
        <w:t>Definicja g</w:t>
      </w:r>
      <w:r w:rsidR="007A6D7F" w:rsidRPr="007A6D7F">
        <w:rPr>
          <w:rFonts w:ascii="Arial Narrow" w:hAnsi="Arial Narrow" w:cs="Arial"/>
          <w:sz w:val="24"/>
          <w:szCs w:val="24"/>
        </w:rPr>
        <w:t>rup</w:t>
      </w:r>
      <w:r w:rsidR="007A6D7F">
        <w:rPr>
          <w:rFonts w:ascii="Arial Narrow" w:hAnsi="Arial Narrow" w:cs="Arial"/>
          <w:sz w:val="24"/>
          <w:szCs w:val="24"/>
        </w:rPr>
        <w:t xml:space="preserve">y </w:t>
      </w:r>
      <w:r w:rsidR="007A6D7F" w:rsidRPr="007A6D7F">
        <w:rPr>
          <w:rFonts w:ascii="Arial Narrow" w:hAnsi="Arial Narrow" w:cs="Arial"/>
          <w:sz w:val="24"/>
          <w:szCs w:val="24"/>
        </w:rPr>
        <w:t>kapitałow</w:t>
      </w:r>
      <w:r w:rsidR="007A6D7F">
        <w:rPr>
          <w:rFonts w:ascii="Arial Narrow" w:hAnsi="Arial Narrow" w:cs="Arial"/>
          <w:sz w:val="24"/>
          <w:szCs w:val="24"/>
        </w:rPr>
        <w:t>ej</w:t>
      </w:r>
      <w:r w:rsidR="007A6D7F" w:rsidRPr="007A6D7F">
        <w:rPr>
          <w:rFonts w:ascii="Arial Narrow" w:hAnsi="Arial Narrow" w:cs="Arial"/>
          <w:sz w:val="24"/>
          <w:szCs w:val="24"/>
        </w:rPr>
        <w:t xml:space="preserve"> z ustawy o rachunkowości.</w:t>
      </w:r>
    </w:p>
    <w:p w14:paraId="73C35E53" w14:textId="77777777" w:rsidR="002E0DB0" w:rsidRPr="007A6D7F" w:rsidRDefault="002E0DB0" w:rsidP="007A6D7F">
      <w:pPr>
        <w:jc w:val="both"/>
        <w:rPr>
          <w:rFonts w:ascii="Arial Narrow" w:hAnsi="Arial Narrow" w:cs="Arial"/>
          <w:sz w:val="24"/>
          <w:szCs w:val="24"/>
        </w:rPr>
      </w:pPr>
      <w:r w:rsidRPr="007A6D7F">
        <w:rPr>
          <w:rFonts w:ascii="Arial Narrow" w:hAnsi="Arial Narrow" w:cs="Arial"/>
          <w:sz w:val="24"/>
          <w:szCs w:val="24"/>
        </w:rPr>
        <w:t xml:space="preserve">2. Jeśli istnieją globalne/wspólne standardy to będą one miały pierwszeństwo, żeby nie narzucać nowych metod liczenia i nowych obowiązków. </w:t>
      </w:r>
    </w:p>
    <w:p w14:paraId="341794BF" w14:textId="5E998F60" w:rsidR="00E941B7" w:rsidRDefault="002E0DB0" w:rsidP="002E42AD">
      <w:pPr>
        <w:jc w:val="both"/>
        <w:rPr>
          <w:rFonts w:ascii="Arial Narrow" w:hAnsi="Arial Narrow" w:cs="Arial"/>
          <w:sz w:val="24"/>
          <w:szCs w:val="24"/>
        </w:rPr>
      </w:pPr>
      <w:r w:rsidRPr="007A6D7F">
        <w:rPr>
          <w:rFonts w:ascii="Arial Narrow" w:hAnsi="Arial Narrow" w:cs="Arial"/>
          <w:sz w:val="24"/>
          <w:szCs w:val="24"/>
        </w:rPr>
        <w:t xml:space="preserve">3. Należy wypracować wspólne podejście do przedsiębiorstw niefinansowych, które nie będą w stanie udostępnić informacji wymaganych zgodnie z tabelą (to podejście powinno być zróżnicowane do co celów danej regulacji – tzn. inne podejście do potrzeby ujawnień instytucji finansowych, inne do oceny ryzyka EGS przy planowaniu finansowania dla inwestycji, jeszcze inna przy dokonywaniu emisji zielonej obligacji). Jednocześnie w niektórych przypadkach klienci instytucji finansowych będą zobowiązani do przekazania danych, na podstawie których to już instytucja finansowa policzy dany wskaźnik. </w:t>
      </w:r>
    </w:p>
    <w:p w14:paraId="44895604" w14:textId="78A23610" w:rsidR="006F6901" w:rsidRPr="002E42AD" w:rsidRDefault="006F6901" w:rsidP="006F6901">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highlight w:val="yellow"/>
        </w:rPr>
        <w:t>Ujawniana i</w:t>
      </w:r>
      <w:r w:rsidRPr="006F6901">
        <w:rPr>
          <w:rFonts w:ascii="Arial Narrow" w:hAnsi="Arial Narrow" w:cs="Arial"/>
          <w:sz w:val="24"/>
          <w:szCs w:val="24"/>
          <w:highlight w:val="yellow"/>
        </w:rPr>
        <w:t>nformacja dotyczy danego roku</w:t>
      </w:r>
      <w:r>
        <w:rPr>
          <w:rFonts w:ascii="Arial Narrow" w:hAnsi="Arial Narrow" w:cs="Arial"/>
          <w:sz w:val="24"/>
          <w:szCs w:val="24"/>
        </w:rPr>
        <w:t xml:space="preserve"> </w:t>
      </w:r>
      <w:r w:rsidRPr="006F6901">
        <w:rPr>
          <w:rFonts w:ascii="Arial Narrow" w:hAnsi="Arial Narrow" w:cs="Arial"/>
          <w:sz w:val="24"/>
          <w:szCs w:val="24"/>
          <w:highlight w:val="yellow"/>
        </w:rPr>
        <w:t>sprawozdawczego.</w:t>
      </w:r>
      <w:r>
        <w:rPr>
          <w:rFonts w:ascii="Arial Narrow" w:hAnsi="Arial Narrow" w:cs="Arial"/>
          <w:sz w:val="24"/>
          <w:szCs w:val="24"/>
        </w:rPr>
        <w:t xml:space="preserve"> </w:t>
      </w:r>
      <w:r w:rsidRPr="006F6901">
        <w:rPr>
          <w:rFonts w:ascii="Arial Narrow" w:hAnsi="Arial Narrow" w:cs="Arial"/>
          <w:sz w:val="24"/>
          <w:szCs w:val="24"/>
          <w:highlight w:val="yellow"/>
        </w:rPr>
        <w:t>Jeśli miałaby dotyczyć innego okresu musi to zostać wprost wskazane.</w:t>
      </w:r>
      <w:r>
        <w:rPr>
          <w:rFonts w:ascii="Arial Narrow" w:hAnsi="Arial Narrow" w:cs="Arial"/>
          <w:sz w:val="24"/>
          <w:szCs w:val="24"/>
        </w:rPr>
        <w:t xml:space="preserve"> </w:t>
      </w:r>
    </w:p>
    <w:p w14:paraId="441E3256" w14:textId="63B5AB25" w:rsidR="006F6901" w:rsidRPr="007A6D7F" w:rsidRDefault="006F6901" w:rsidP="002E42AD">
      <w:pPr>
        <w:jc w:val="both"/>
        <w:rPr>
          <w:rFonts w:ascii="Arial Narrow" w:hAnsi="Arial Narrow" w:cs="Arial"/>
          <w:sz w:val="24"/>
          <w:szCs w:val="24"/>
        </w:rPr>
      </w:pPr>
    </w:p>
    <w:tbl>
      <w:tblPr>
        <w:tblStyle w:val="Tabela-Siatka"/>
        <w:tblW w:w="14315" w:type="dxa"/>
        <w:tblLook w:val="04A0" w:firstRow="1" w:lastRow="0" w:firstColumn="1" w:lastColumn="0" w:noHBand="0" w:noVBand="1"/>
      </w:tblPr>
      <w:tblGrid>
        <w:gridCol w:w="2972"/>
        <w:gridCol w:w="11343"/>
      </w:tblGrid>
      <w:tr w:rsidR="00E941B7" w:rsidRPr="006E61DD" w14:paraId="25D0FFC2" w14:textId="77777777" w:rsidTr="007A6D7F">
        <w:trPr>
          <w:trHeight w:val="643"/>
        </w:trPr>
        <w:tc>
          <w:tcPr>
            <w:tcW w:w="2972" w:type="dxa"/>
            <w:shd w:val="clear" w:color="auto" w:fill="C5E0B3" w:themeFill="accent6" w:themeFillTint="66"/>
          </w:tcPr>
          <w:p w14:paraId="034CBFA3" w14:textId="1783A850" w:rsidR="00E941B7" w:rsidRPr="007A6D7F" w:rsidRDefault="00E941B7">
            <w:pPr>
              <w:rPr>
                <w:rFonts w:ascii="Arial Narrow" w:hAnsi="Arial Narrow" w:cs="Arial"/>
                <w:sz w:val="24"/>
                <w:szCs w:val="24"/>
              </w:rPr>
            </w:pPr>
            <w:r w:rsidRPr="007A6D7F">
              <w:rPr>
                <w:rFonts w:ascii="Arial Narrow" w:hAnsi="Arial Narrow" w:cs="Arial"/>
                <w:b/>
                <w:bCs/>
                <w:sz w:val="24"/>
                <w:szCs w:val="24"/>
              </w:rPr>
              <w:t>Nazwa wskaźnika (EN)</w:t>
            </w:r>
          </w:p>
        </w:tc>
        <w:tc>
          <w:tcPr>
            <w:tcW w:w="11343" w:type="dxa"/>
          </w:tcPr>
          <w:p w14:paraId="32607E4C" w14:textId="25E5A2B2" w:rsidR="00E941B7" w:rsidRPr="007A6D7F" w:rsidRDefault="003778E4">
            <w:pPr>
              <w:rPr>
                <w:rFonts w:ascii="Arial Narrow" w:hAnsi="Arial Narrow" w:cs="Arial"/>
                <w:sz w:val="24"/>
                <w:szCs w:val="24"/>
                <w:lang w:val="en-US"/>
              </w:rPr>
            </w:pPr>
            <w:r w:rsidRPr="003778E4">
              <w:rPr>
                <w:rFonts w:ascii="Arial Narrow" w:hAnsi="Arial Narrow" w:cs="Arial"/>
                <w:sz w:val="24"/>
                <w:szCs w:val="24"/>
                <w:lang w:val="en-GB"/>
              </w:rPr>
              <w:t xml:space="preserve">Energy consumption intensity per sector </w:t>
            </w:r>
          </w:p>
        </w:tc>
      </w:tr>
      <w:tr w:rsidR="00E941B7" w:rsidRPr="007A6D7F" w14:paraId="0325BCB8" w14:textId="77777777" w:rsidTr="007A6D7F">
        <w:trPr>
          <w:trHeight w:val="864"/>
        </w:trPr>
        <w:tc>
          <w:tcPr>
            <w:tcW w:w="2972" w:type="dxa"/>
            <w:shd w:val="clear" w:color="auto" w:fill="C5E0B3" w:themeFill="accent6" w:themeFillTint="66"/>
          </w:tcPr>
          <w:p w14:paraId="5DF07311" w14:textId="1A5B9BC6" w:rsidR="00E941B7" w:rsidRPr="007A6D7F" w:rsidRDefault="00E941B7">
            <w:pPr>
              <w:rPr>
                <w:rFonts w:ascii="Arial Narrow" w:hAnsi="Arial Narrow" w:cs="Arial"/>
                <w:sz w:val="24"/>
                <w:szCs w:val="24"/>
                <w:lang w:val="en-US"/>
              </w:rPr>
            </w:pPr>
            <w:r w:rsidRPr="007A6D7F">
              <w:rPr>
                <w:rFonts w:ascii="Arial Narrow" w:hAnsi="Arial Narrow" w:cs="Arial"/>
                <w:b/>
                <w:bCs/>
                <w:sz w:val="24"/>
                <w:szCs w:val="24"/>
              </w:rPr>
              <w:t>Nazwa wskaźnika (PL)</w:t>
            </w:r>
          </w:p>
        </w:tc>
        <w:tc>
          <w:tcPr>
            <w:tcW w:w="11343" w:type="dxa"/>
          </w:tcPr>
          <w:p w14:paraId="6C7B38DA" w14:textId="470FAD08" w:rsidR="00E941B7" w:rsidRPr="007A6D7F" w:rsidRDefault="003778E4">
            <w:pPr>
              <w:rPr>
                <w:rFonts w:ascii="Arial Narrow" w:hAnsi="Arial Narrow" w:cs="Arial"/>
                <w:sz w:val="24"/>
                <w:szCs w:val="24"/>
              </w:rPr>
            </w:pPr>
            <w:r w:rsidRPr="003778E4">
              <w:rPr>
                <w:rFonts w:ascii="Arial Narrow" w:hAnsi="Arial Narrow" w:cs="Arial"/>
                <w:sz w:val="24"/>
                <w:szCs w:val="24"/>
              </w:rPr>
              <w:t>Intensywność zużycia energii na sektor</w:t>
            </w:r>
            <w:r>
              <w:rPr>
                <w:rFonts w:ascii="Arial Narrow" w:hAnsi="Arial Narrow" w:cs="Arial"/>
                <w:sz w:val="24"/>
                <w:szCs w:val="24"/>
              </w:rPr>
              <w:t xml:space="preserve"> </w:t>
            </w:r>
          </w:p>
        </w:tc>
      </w:tr>
      <w:tr w:rsidR="00E941B7" w:rsidRPr="006F130D" w14:paraId="7FA8446D" w14:textId="77777777" w:rsidTr="00065EEE">
        <w:trPr>
          <w:trHeight w:val="1150"/>
        </w:trPr>
        <w:tc>
          <w:tcPr>
            <w:tcW w:w="2972" w:type="dxa"/>
            <w:shd w:val="clear" w:color="auto" w:fill="C5E0B3" w:themeFill="accent6" w:themeFillTint="66"/>
          </w:tcPr>
          <w:p w14:paraId="59C59743" w14:textId="1DD76450" w:rsidR="00E941B7" w:rsidRPr="007A6D7F" w:rsidRDefault="00E941B7">
            <w:pPr>
              <w:rPr>
                <w:rFonts w:ascii="Arial Narrow" w:hAnsi="Arial Narrow" w:cs="Arial"/>
                <w:sz w:val="24"/>
                <w:szCs w:val="24"/>
              </w:rPr>
            </w:pPr>
            <w:r w:rsidRPr="007A6D7F">
              <w:rPr>
                <w:rFonts w:ascii="Arial Narrow" w:hAnsi="Arial Narrow" w:cs="Arial"/>
                <w:sz w:val="24"/>
                <w:szCs w:val="24"/>
              </w:rPr>
              <w:t>Wykorzystywana metoda obliczeniowa</w:t>
            </w:r>
          </w:p>
        </w:tc>
        <w:tc>
          <w:tcPr>
            <w:tcW w:w="11343" w:type="dxa"/>
          </w:tcPr>
          <w:p w14:paraId="6D388F2F" w14:textId="77777777" w:rsidR="003778E4" w:rsidRPr="003778E4" w:rsidRDefault="003778E4" w:rsidP="003778E4">
            <w:pPr>
              <w:rPr>
                <w:rFonts w:ascii="Arial Narrow" w:hAnsi="Arial Narrow" w:cs="Arial"/>
                <w:sz w:val="24"/>
                <w:szCs w:val="24"/>
              </w:rPr>
            </w:pPr>
            <w:r>
              <w:rPr>
                <w:rFonts w:ascii="Arial Narrow" w:hAnsi="Arial Narrow" w:cs="Arial"/>
                <w:sz w:val="24"/>
                <w:szCs w:val="24"/>
              </w:rPr>
              <w:t xml:space="preserve">Brak globalnego standardu. </w:t>
            </w:r>
            <w:r w:rsidRPr="003778E4">
              <w:rPr>
                <w:rFonts w:ascii="Arial Narrow" w:hAnsi="Arial Narrow" w:cs="Arial"/>
                <w:sz w:val="24"/>
                <w:szCs w:val="24"/>
              </w:rPr>
              <w:t xml:space="preserve">Wydaje się, że wskaźnik z pkt. 8 (tj. Energy </w:t>
            </w:r>
            <w:proofErr w:type="spellStart"/>
            <w:r w:rsidRPr="003778E4">
              <w:rPr>
                <w:rFonts w:ascii="Arial Narrow" w:hAnsi="Arial Narrow" w:cs="Arial"/>
                <w:sz w:val="24"/>
                <w:szCs w:val="24"/>
              </w:rPr>
              <w:t>Conumption</w:t>
            </w:r>
            <w:proofErr w:type="spellEnd"/>
            <w:r w:rsidRPr="003778E4">
              <w:rPr>
                <w:rFonts w:ascii="Arial Narrow" w:hAnsi="Arial Narrow" w:cs="Arial"/>
                <w:sz w:val="24"/>
                <w:szCs w:val="24"/>
              </w:rPr>
              <w:t xml:space="preserve"> </w:t>
            </w:r>
            <w:proofErr w:type="spellStart"/>
            <w:r w:rsidRPr="003778E4">
              <w:rPr>
                <w:rFonts w:ascii="Arial Narrow" w:hAnsi="Arial Narrow" w:cs="Arial"/>
                <w:sz w:val="24"/>
                <w:szCs w:val="24"/>
              </w:rPr>
              <w:t>Intensity</w:t>
            </w:r>
            <w:proofErr w:type="spellEnd"/>
            <w:r w:rsidRPr="003778E4">
              <w:rPr>
                <w:rFonts w:ascii="Arial Narrow" w:hAnsi="Arial Narrow" w:cs="Arial"/>
                <w:sz w:val="24"/>
                <w:szCs w:val="24"/>
              </w:rPr>
              <w:t xml:space="preserve"> per </w:t>
            </w:r>
            <w:proofErr w:type="spellStart"/>
            <w:r w:rsidRPr="003778E4">
              <w:rPr>
                <w:rFonts w:ascii="Arial Narrow" w:hAnsi="Arial Narrow" w:cs="Arial"/>
                <w:sz w:val="24"/>
                <w:szCs w:val="24"/>
              </w:rPr>
              <w:t>Sector</w:t>
            </w:r>
            <w:proofErr w:type="spellEnd"/>
            <w:r w:rsidRPr="003778E4">
              <w:rPr>
                <w:rFonts w:ascii="Arial Narrow" w:hAnsi="Arial Narrow" w:cs="Arial"/>
                <w:sz w:val="24"/>
                <w:szCs w:val="24"/>
              </w:rPr>
              <w:t>/Intensywność Zużycia Energii na Sektor) ma większy sens liczenia w przypadku podmiotu inwestującego (inwestora) niż w przypadku emitenta. Wydaje się, że sposób wyliczania i podawania danych z pkt. 8 powinien wyglądać następująco:</w:t>
            </w:r>
          </w:p>
          <w:p w14:paraId="2DD9F5E3" w14:textId="77777777" w:rsidR="003778E4" w:rsidRPr="003778E4" w:rsidRDefault="003778E4" w:rsidP="003778E4">
            <w:pPr>
              <w:numPr>
                <w:ilvl w:val="0"/>
                <w:numId w:val="4"/>
              </w:numPr>
              <w:rPr>
                <w:rFonts w:ascii="Arial Narrow" w:hAnsi="Arial Narrow" w:cs="Arial"/>
                <w:sz w:val="24"/>
                <w:szCs w:val="24"/>
              </w:rPr>
            </w:pPr>
            <w:r w:rsidRPr="003778E4">
              <w:rPr>
                <w:rFonts w:ascii="Arial Narrow" w:hAnsi="Arial Narrow" w:cs="Arial"/>
                <w:sz w:val="24"/>
                <w:szCs w:val="24"/>
              </w:rPr>
              <w:t>Emitent w pkt. 7 wylicza i podaje dane dotyczące intensywności zużycia energii w ramach grupy kapitałowej/podmiotu emitującego instrument finansowy.</w:t>
            </w:r>
          </w:p>
          <w:p w14:paraId="1DBACA07" w14:textId="77777777" w:rsidR="003778E4" w:rsidRPr="003778E4" w:rsidRDefault="003778E4" w:rsidP="003778E4">
            <w:pPr>
              <w:numPr>
                <w:ilvl w:val="0"/>
                <w:numId w:val="4"/>
              </w:numPr>
              <w:rPr>
                <w:rFonts w:ascii="Arial Narrow" w:hAnsi="Arial Narrow" w:cs="Arial"/>
                <w:sz w:val="24"/>
                <w:szCs w:val="24"/>
              </w:rPr>
            </w:pPr>
            <w:r w:rsidRPr="003778E4">
              <w:rPr>
                <w:rFonts w:ascii="Arial Narrow" w:hAnsi="Arial Narrow" w:cs="Arial"/>
                <w:sz w:val="24"/>
                <w:szCs w:val="24"/>
              </w:rPr>
              <w:t>Emitent podaje informację odnośnie sektora NACE, do którego jest przypisany, na podstawie klasyfikacji EU i prowadzonej przez siebie działalności w ramach grupy kapitałowej/podmiotu emitującego instrument finansowy***.</w:t>
            </w:r>
          </w:p>
          <w:p w14:paraId="21E529BD" w14:textId="77777777" w:rsidR="003778E4" w:rsidRPr="003778E4" w:rsidRDefault="003778E4" w:rsidP="003778E4">
            <w:pPr>
              <w:numPr>
                <w:ilvl w:val="0"/>
                <w:numId w:val="4"/>
              </w:numPr>
              <w:rPr>
                <w:rFonts w:ascii="Arial Narrow" w:hAnsi="Arial Narrow" w:cs="Arial"/>
                <w:sz w:val="24"/>
                <w:szCs w:val="24"/>
              </w:rPr>
            </w:pPr>
            <w:r w:rsidRPr="003778E4">
              <w:rPr>
                <w:rFonts w:ascii="Arial Narrow" w:hAnsi="Arial Narrow" w:cs="Arial"/>
                <w:sz w:val="24"/>
                <w:szCs w:val="24"/>
              </w:rPr>
              <w:t>Podmiot inwestujący (inwestor) zbiera informację na temat intensywności zużycia energii podanych przez poszczególne podmioty/emitentów, w których instrumenty finansowe inwestuje, a następnie agreguje te dane przy pomocy następującego wzoru:</w:t>
            </w:r>
          </w:p>
          <w:p w14:paraId="6F7EFE2A" w14:textId="286BB4CE" w:rsidR="003778E4" w:rsidRPr="003778E4" w:rsidRDefault="003778E4" w:rsidP="003778E4">
            <w:pPr>
              <w:rPr>
                <w:rFonts w:ascii="Arial Narrow" w:hAnsi="Arial Narrow" w:cs="Arial"/>
                <w:sz w:val="24"/>
                <w:szCs w:val="24"/>
              </w:rPr>
            </w:pPr>
            <w:r w:rsidRPr="003778E4">
              <w:rPr>
                <w:rFonts w:ascii="Arial Narrow" w:hAnsi="Arial Narrow" w:cs="Arial"/>
                <w:sz w:val="24"/>
                <w:szCs w:val="24"/>
              </w:rPr>
              <w:object w:dxaOrig="7290" w:dyaOrig="780" w14:anchorId="6DC9A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6pt;height:43.2pt" o:ole="">
                  <v:imagedata r:id="rId8" o:title=""/>
                </v:shape>
                <o:OLEObject Type="Embed" ProgID="PBrush" ShapeID="_x0000_i1025" DrawAspect="Content" ObjectID="_1670076799" r:id="rId9"/>
              </w:object>
            </w:r>
          </w:p>
          <w:p w14:paraId="75E98E89" w14:textId="77777777" w:rsidR="003778E4" w:rsidRPr="003778E4" w:rsidRDefault="003778E4" w:rsidP="003778E4">
            <w:pPr>
              <w:rPr>
                <w:rFonts w:ascii="Arial Narrow" w:hAnsi="Arial Narrow" w:cs="Arial"/>
                <w:sz w:val="24"/>
                <w:szCs w:val="24"/>
              </w:rPr>
            </w:pPr>
          </w:p>
          <w:p w14:paraId="1C0E1296" w14:textId="77777777" w:rsidR="003778E4" w:rsidRPr="003778E4" w:rsidRDefault="003778E4" w:rsidP="003778E4">
            <w:pPr>
              <w:rPr>
                <w:rFonts w:ascii="Arial Narrow" w:hAnsi="Arial Narrow" w:cs="Arial"/>
                <w:sz w:val="24"/>
                <w:szCs w:val="24"/>
              </w:rPr>
            </w:pPr>
            <w:r w:rsidRPr="003778E4">
              <w:rPr>
                <w:rFonts w:ascii="Arial Narrow" w:hAnsi="Arial Narrow" w:cs="Arial"/>
                <w:sz w:val="24"/>
                <w:szCs w:val="24"/>
              </w:rPr>
              <w:t xml:space="preserve">***Poza tym, że informacje na temat sektora NACE, do którego przypisany jest emitent poda on sam, to dane te można uzyskać także z systemów takich jak Bloomberg lub </w:t>
            </w:r>
            <w:proofErr w:type="spellStart"/>
            <w:r w:rsidRPr="003778E4">
              <w:rPr>
                <w:rFonts w:ascii="Arial Narrow" w:hAnsi="Arial Narrow" w:cs="Arial"/>
                <w:sz w:val="24"/>
                <w:szCs w:val="24"/>
              </w:rPr>
              <w:t>Refinitiv</w:t>
            </w:r>
            <w:proofErr w:type="spellEnd"/>
            <w:r w:rsidRPr="003778E4">
              <w:rPr>
                <w:rFonts w:ascii="Arial Narrow" w:hAnsi="Arial Narrow" w:cs="Arial"/>
                <w:sz w:val="24"/>
                <w:szCs w:val="24"/>
              </w:rPr>
              <w:t xml:space="preserve">/Reuters przy użyciu prostych komend typu: NACE_SECTOR_NAME, NACE_SECTOR_CODE (dla BBG). </w:t>
            </w:r>
          </w:p>
          <w:p w14:paraId="0C48DCEE" w14:textId="62EBBEDC" w:rsidR="00E941B7" w:rsidRPr="00BF46C7" w:rsidRDefault="002A018C" w:rsidP="00BF46C7">
            <w:pPr>
              <w:rPr>
                <w:rFonts w:ascii="Arial Narrow" w:hAnsi="Arial Narrow" w:cs="Arial"/>
                <w:color w:val="4472C4" w:themeColor="accent1"/>
                <w:sz w:val="24"/>
                <w:szCs w:val="24"/>
                <w:u w:val="single"/>
              </w:rPr>
            </w:pPr>
            <w:r w:rsidRPr="002A018C">
              <w:rPr>
                <w:rFonts w:ascii="Arial Narrow" w:hAnsi="Arial Narrow" w:cs="Arial"/>
                <w:color w:val="4472C4" w:themeColor="accent1"/>
                <w:sz w:val="24"/>
                <w:szCs w:val="24"/>
                <w:u w:val="single"/>
              </w:rPr>
              <w:t xml:space="preserve"> </w:t>
            </w:r>
          </w:p>
        </w:tc>
      </w:tr>
      <w:tr w:rsidR="00E941B7" w:rsidRPr="006E61DD" w14:paraId="70B2FBDC" w14:textId="77777777" w:rsidTr="007A6D7F">
        <w:trPr>
          <w:trHeight w:val="49"/>
        </w:trPr>
        <w:tc>
          <w:tcPr>
            <w:tcW w:w="2972" w:type="dxa"/>
            <w:shd w:val="clear" w:color="auto" w:fill="C5E0B3" w:themeFill="accent6" w:themeFillTint="66"/>
          </w:tcPr>
          <w:p w14:paraId="76B80F7A" w14:textId="60ABF6C8" w:rsidR="00E941B7" w:rsidRPr="007A6D7F" w:rsidRDefault="002E0DB0">
            <w:pPr>
              <w:rPr>
                <w:rFonts w:ascii="Arial Narrow" w:hAnsi="Arial Narrow" w:cs="Arial"/>
                <w:sz w:val="24"/>
                <w:szCs w:val="24"/>
              </w:rPr>
            </w:pPr>
            <w:r w:rsidRPr="007A6D7F">
              <w:rPr>
                <w:rFonts w:ascii="Arial Narrow" w:hAnsi="Arial Narrow" w:cs="Arial"/>
                <w:sz w:val="24"/>
                <w:szCs w:val="24"/>
              </w:rPr>
              <w:lastRenderedPageBreak/>
              <w:t xml:space="preserve">Definicja zawarta w projekcie RTS </w:t>
            </w:r>
          </w:p>
        </w:tc>
        <w:tc>
          <w:tcPr>
            <w:tcW w:w="11343" w:type="dxa"/>
          </w:tcPr>
          <w:p w14:paraId="3729F2DA" w14:textId="6DC855ED" w:rsidR="00B5394A" w:rsidRPr="00B5394A" w:rsidRDefault="00B5394A" w:rsidP="006F130D">
            <w:pPr>
              <w:rPr>
                <w:rFonts w:ascii="Arial Narrow" w:hAnsi="Arial Narrow" w:cs="Arial"/>
                <w:sz w:val="24"/>
                <w:szCs w:val="24"/>
                <w:lang w:val="en-US"/>
              </w:rPr>
            </w:pPr>
            <w:r w:rsidRPr="00B5394A">
              <w:rPr>
                <w:rFonts w:ascii="Arial Narrow" w:hAnsi="Arial Narrow" w:cs="Arial"/>
                <w:sz w:val="24"/>
                <w:szCs w:val="24"/>
                <w:lang w:val="en-US"/>
              </w:rPr>
              <w:t>‘energy consumption intensity’ means the ratio of energy consumption per unit of activity, output or any other metric of the investee company to the total energy consumption of that investee company;</w:t>
            </w:r>
          </w:p>
          <w:p w14:paraId="0F36DD3E" w14:textId="77777777" w:rsidR="00B5394A" w:rsidRPr="00B5394A" w:rsidRDefault="00B5394A" w:rsidP="006F130D">
            <w:pPr>
              <w:rPr>
                <w:rFonts w:ascii="Arial Narrow" w:hAnsi="Arial Narrow" w:cs="Arial"/>
                <w:sz w:val="24"/>
                <w:szCs w:val="24"/>
                <w:lang w:val="en-US"/>
              </w:rPr>
            </w:pPr>
          </w:p>
          <w:p w14:paraId="0E36BA54" w14:textId="5F565CE6" w:rsidR="00065EEE" w:rsidRPr="003778E4" w:rsidRDefault="003778E4" w:rsidP="006F130D">
            <w:pPr>
              <w:rPr>
                <w:rFonts w:ascii="Arial Narrow" w:hAnsi="Arial Narrow" w:cs="Arial"/>
                <w:sz w:val="24"/>
                <w:szCs w:val="24"/>
                <w:lang w:val="en-US"/>
              </w:rPr>
            </w:pPr>
            <w:r w:rsidRPr="003778E4">
              <w:rPr>
                <w:rFonts w:ascii="Arial Narrow" w:hAnsi="Arial Narrow" w:cs="Arial"/>
                <w:sz w:val="24"/>
                <w:szCs w:val="24"/>
                <w:lang w:val="en-US"/>
              </w:rPr>
              <w:t>Energy consumption intensity per million EUR of revenue of investee companies, per NACE sector (in GWh), expressed as a weighted average</w:t>
            </w:r>
          </w:p>
        </w:tc>
      </w:tr>
      <w:tr w:rsidR="002E0DB0" w:rsidRPr="007A6D7F" w14:paraId="13FE842B" w14:textId="77777777" w:rsidTr="007A6D7F">
        <w:trPr>
          <w:trHeight w:val="49"/>
        </w:trPr>
        <w:tc>
          <w:tcPr>
            <w:tcW w:w="2972" w:type="dxa"/>
            <w:shd w:val="clear" w:color="auto" w:fill="C5E0B3" w:themeFill="accent6" w:themeFillTint="66"/>
          </w:tcPr>
          <w:p w14:paraId="7EFC9274" w14:textId="743A604E" w:rsidR="002E0DB0" w:rsidRPr="007A6D7F" w:rsidRDefault="002E0DB0" w:rsidP="002E0DB0">
            <w:pPr>
              <w:rPr>
                <w:rFonts w:ascii="Arial Narrow" w:hAnsi="Arial Narrow" w:cs="Arial"/>
                <w:sz w:val="24"/>
                <w:szCs w:val="24"/>
              </w:rPr>
            </w:pPr>
            <w:r w:rsidRPr="007A6D7F">
              <w:rPr>
                <w:rFonts w:ascii="Arial Narrow" w:hAnsi="Arial Narrow" w:cs="Arial"/>
                <w:sz w:val="24"/>
                <w:szCs w:val="24"/>
              </w:rPr>
              <w:t>Informacje uzupełniające</w:t>
            </w:r>
          </w:p>
        </w:tc>
        <w:tc>
          <w:tcPr>
            <w:tcW w:w="11343" w:type="dxa"/>
          </w:tcPr>
          <w:p w14:paraId="54D61392" w14:textId="77777777" w:rsidR="003778E4" w:rsidRPr="003778E4" w:rsidRDefault="003778E4" w:rsidP="003778E4">
            <w:pPr>
              <w:rPr>
                <w:rFonts w:ascii="Arial Narrow" w:hAnsi="Arial Narrow" w:cs="Arial"/>
                <w:sz w:val="24"/>
                <w:szCs w:val="24"/>
              </w:rPr>
            </w:pPr>
            <w:r w:rsidRPr="003778E4">
              <w:rPr>
                <w:rFonts w:ascii="Arial Narrow" w:hAnsi="Arial Narrow" w:cs="Arial"/>
                <w:sz w:val="24"/>
                <w:szCs w:val="24"/>
              </w:rPr>
              <w:t xml:space="preserve">Spółki giełdowe, w ramach klasyfikacji alternatywnych do NACE tj. GICS (Global </w:t>
            </w:r>
            <w:proofErr w:type="spellStart"/>
            <w:r w:rsidRPr="003778E4">
              <w:rPr>
                <w:rFonts w:ascii="Arial Narrow" w:hAnsi="Arial Narrow" w:cs="Arial"/>
                <w:sz w:val="24"/>
                <w:szCs w:val="24"/>
              </w:rPr>
              <w:t>Industry</w:t>
            </w:r>
            <w:proofErr w:type="spellEnd"/>
            <w:r w:rsidRPr="003778E4">
              <w:rPr>
                <w:rFonts w:ascii="Arial Narrow" w:hAnsi="Arial Narrow" w:cs="Arial"/>
                <w:sz w:val="24"/>
                <w:szCs w:val="24"/>
              </w:rPr>
              <w:t xml:space="preserve"> </w:t>
            </w:r>
            <w:proofErr w:type="spellStart"/>
            <w:r w:rsidRPr="003778E4">
              <w:rPr>
                <w:rFonts w:ascii="Arial Narrow" w:hAnsi="Arial Narrow" w:cs="Arial"/>
                <w:sz w:val="24"/>
                <w:szCs w:val="24"/>
              </w:rPr>
              <w:t>Classification</w:t>
            </w:r>
            <w:proofErr w:type="spellEnd"/>
            <w:r w:rsidRPr="003778E4">
              <w:rPr>
                <w:rFonts w:ascii="Arial Narrow" w:hAnsi="Arial Narrow" w:cs="Arial"/>
                <w:sz w:val="24"/>
                <w:szCs w:val="24"/>
              </w:rPr>
              <w:t xml:space="preserve"> Standard), BICS (Bloomberg </w:t>
            </w:r>
            <w:proofErr w:type="spellStart"/>
            <w:r w:rsidRPr="003778E4">
              <w:rPr>
                <w:rFonts w:ascii="Arial Narrow" w:hAnsi="Arial Narrow" w:cs="Arial"/>
                <w:sz w:val="24"/>
                <w:szCs w:val="24"/>
              </w:rPr>
              <w:t>Industry</w:t>
            </w:r>
            <w:proofErr w:type="spellEnd"/>
            <w:r w:rsidRPr="003778E4">
              <w:rPr>
                <w:rFonts w:ascii="Arial Narrow" w:hAnsi="Arial Narrow" w:cs="Arial"/>
                <w:sz w:val="24"/>
                <w:szCs w:val="24"/>
              </w:rPr>
              <w:t xml:space="preserve"> </w:t>
            </w:r>
            <w:proofErr w:type="spellStart"/>
            <w:r w:rsidRPr="003778E4">
              <w:rPr>
                <w:rFonts w:ascii="Arial Narrow" w:hAnsi="Arial Narrow" w:cs="Arial"/>
                <w:sz w:val="24"/>
                <w:szCs w:val="24"/>
              </w:rPr>
              <w:t>Classification</w:t>
            </w:r>
            <w:proofErr w:type="spellEnd"/>
            <w:r w:rsidRPr="003778E4">
              <w:rPr>
                <w:rFonts w:ascii="Arial Narrow" w:hAnsi="Arial Narrow" w:cs="Arial"/>
                <w:sz w:val="24"/>
                <w:szCs w:val="24"/>
              </w:rPr>
              <w:t xml:space="preserve"> Standard), przypisywane są do poszczególnych sektorów na podstawie swojej podstawowej działalności biznesowej. Pojedyncza spółka może być przypisana tylko i wyłącznie do jednego sektora. Podobnie sprawa wygląda z klasyfikacją NACE, przy czym klasyfikacja jest nieco szersza, gdyż sektory przyporządkowane są do alfabetycznie liter od A do U (dla porównania, w przypadku GICS jest to tylko 11 sektorów). Listę sektorów NACE można znaleźć tutaj: </w:t>
            </w:r>
            <w:hyperlink r:id="rId10" w:history="1">
              <w:r w:rsidRPr="003778E4">
                <w:rPr>
                  <w:rStyle w:val="Hipercze"/>
                  <w:rFonts w:ascii="Arial Narrow" w:hAnsi="Arial Narrow" w:cs="Arial"/>
                  <w:sz w:val="24"/>
                  <w:szCs w:val="24"/>
                </w:rPr>
                <w:t>https://ec.europa.eu/competition/mergers/cases/index/nace_all.html</w:t>
              </w:r>
            </w:hyperlink>
          </w:p>
          <w:p w14:paraId="3BE76ACD" w14:textId="77777777" w:rsidR="002E0DB0" w:rsidRDefault="002E0DB0" w:rsidP="00BF46C7">
            <w:pPr>
              <w:rPr>
                <w:rFonts w:ascii="Arial Narrow" w:hAnsi="Arial Narrow" w:cs="Arial"/>
                <w:sz w:val="24"/>
                <w:szCs w:val="24"/>
              </w:rPr>
            </w:pPr>
          </w:p>
          <w:p w14:paraId="135C2813"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A co ze spółkami, które mają więcej niż jeden kod NACE, dla grupy kapitałowej może to być wiele kodów NACE. Z perspektywy inwestora, jak inwestuję w akcje np. JSW to potrzebuję tylko jeden NACE – grupy kapitałowej. </w:t>
            </w:r>
          </w:p>
          <w:p w14:paraId="517A1859"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Zużycie energii liczymy na całą grupę, a z kolei intensywność zużycia energii na sektor wymagałoby rozdzielenia grupy kapitałowej na oddzielne NACE na sektory. </w:t>
            </w:r>
          </w:p>
          <w:p w14:paraId="5404F80E"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A co jeśli nie ma jakiegoś podmiotu klasyfikowanego w NACE- Istnieje możliwość oczekiwania od spółki podanie PKD i przypisania do odpowiedniego NACE. </w:t>
            </w:r>
          </w:p>
          <w:p w14:paraId="5DAD163D"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Spółka powinna podać NACE spółki matki, a informacje o zużyciu według grupy kapitałowej. </w:t>
            </w:r>
          </w:p>
          <w:p w14:paraId="543B043E" w14:textId="658957C4"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Nie trzeba korzystać z </w:t>
            </w:r>
            <w:proofErr w:type="spellStart"/>
            <w:r>
              <w:rPr>
                <w:rFonts w:ascii="Arial Narrow" w:hAnsi="Arial Narrow" w:cs="Arial"/>
                <w:sz w:val="24"/>
                <w:szCs w:val="24"/>
              </w:rPr>
              <w:t>B</w:t>
            </w:r>
            <w:r w:rsidRPr="003778E4">
              <w:rPr>
                <w:rFonts w:ascii="Arial Narrow" w:hAnsi="Arial Narrow" w:cs="Arial"/>
                <w:sz w:val="24"/>
                <w:szCs w:val="24"/>
              </w:rPr>
              <w:t>loomberga</w:t>
            </w:r>
            <w:proofErr w:type="spellEnd"/>
            <w:r w:rsidRPr="003778E4">
              <w:rPr>
                <w:rFonts w:ascii="Arial Narrow" w:hAnsi="Arial Narrow" w:cs="Arial"/>
                <w:sz w:val="24"/>
                <w:szCs w:val="24"/>
              </w:rPr>
              <w:t xml:space="preserve">, żeby sprawdzić NACE, ale ze źródła danych, które jest najbardziej adekwatne dot. zaklasyfikowania do NACE. </w:t>
            </w:r>
          </w:p>
          <w:p w14:paraId="771E8F71"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Emitent przedstawia zużycie energii i intensywność na matkę i na grupę. </w:t>
            </w:r>
          </w:p>
          <w:p w14:paraId="6A71E8D8"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Podaje kod NACE na matkę i grupę według wiodącej działalności. Instytucja finansowa policzy sobie intensywność na sektor. Chyba, że finansowana będzie spółka córka, wtedy potrzeba podać kod NACE dla spółki córki. Gdyby chodziło </w:t>
            </w:r>
            <w:r w:rsidRPr="003778E4">
              <w:rPr>
                <w:rFonts w:ascii="Arial Narrow" w:hAnsi="Arial Narrow" w:cs="Arial"/>
                <w:sz w:val="24"/>
                <w:szCs w:val="24"/>
              </w:rPr>
              <w:lastRenderedPageBreak/>
              <w:t xml:space="preserve">o np. spółkę holdingową to spółka powinna podać kod dominujący- wiodący dla grupy, czyli nie przypisujemy PKD holding ale wiodącą działalność w grupie. </w:t>
            </w:r>
          </w:p>
          <w:p w14:paraId="2EFE9DFB" w14:textId="77777777" w:rsidR="003778E4" w:rsidRPr="003778E4" w:rsidRDefault="003778E4" w:rsidP="003778E4">
            <w:pPr>
              <w:numPr>
                <w:ilvl w:val="0"/>
                <w:numId w:val="5"/>
              </w:numPr>
              <w:rPr>
                <w:rFonts w:ascii="Arial Narrow" w:hAnsi="Arial Narrow" w:cs="Arial"/>
                <w:sz w:val="24"/>
                <w:szCs w:val="24"/>
              </w:rPr>
            </w:pPr>
            <w:r w:rsidRPr="003778E4">
              <w:rPr>
                <w:rFonts w:ascii="Arial Narrow" w:hAnsi="Arial Narrow" w:cs="Arial"/>
                <w:sz w:val="24"/>
                <w:szCs w:val="24"/>
              </w:rPr>
              <w:t xml:space="preserve">Firma raportująca podaje źródło danych- źródło klasyfikacji do kategorii NACE. </w:t>
            </w:r>
          </w:p>
          <w:p w14:paraId="3A8B7B1B" w14:textId="78FF7528" w:rsidR="003778E4" w:rsidRPr="00BF46C7" w:rsidRDefault="003778E4" w:rsidP="003778E4">
            <w:pPr>
              <w:rPr>
                <w:rFonts w:ascii="Arial Narrow" w:hAnsi="Arial Narrow" w:cs="Arial"/>
                <w:sz w:val="24"/>
                <w:szCs w:val="24"/>
              </w:rPr>
            </w:pPr>
            <w:r w:rsidRPr="003778E4">
              <w:rPr>
                <w:rFonts w:ascii="Arial Narrow" w:hAnsi="Arial Narrow" w:cs="Arial"/>
                <w:sz w:val="24"/>
                <w:szCs w:val="24"/>
              </w:rPr>
              <w:t>Instytucja finansowa nie ma obowiązku weryfikacji klasyfikacji NACE zaproponowanej przez podmiot. Ma możliwość modyfikacji tej klasyfikacji bazując na swoich źródłach</w:t>
            </w:r>
          </w:p>
        </w:tc>
      </w:tr>
    </w:tbl>
    <w:p w14:paraId="2EE17BAE" w14:textId="4465CC9B" w:rsidR="002E0DB0" w:rsidRDefault="002E0DB0">
      <w:pPr>
        <w:rPr>
          <w:rFonts w:ascii="Arial Narrow" w:hAnsi="Arial Narrow" w:cs="Arial"/>
          <w:sz w:val="24"/>
          <w:szCs w:val="24"/>
        </w:rPr>
      </w:pPr>
    </w:p>
    <w:p w14:paraId="106736BF" w14:textId="77777777" w:rsidR="00BF46C7" w:rsidRPr="007A6D7F" w:rsidRDefault="00BF46C7">
      <w:pPr>
        <w:rPr>
          <w:rFonts w:ascii="Arial Narrow" w:hAnsi="Arial Narrow" w:cs="Arial"/>
          <w:sz w:val="24"/>
          <w:szCs w:val="24"/>
        </w:rPr>
      </w:pPr>
    </w:p>
    <w:tbl>
      <w:tblPr>
        <w:tblStyle w:val="Tabela-Siatka"/>
        <w:tblW w:w="14029" w:type="dxa"/>
        <w:tblLook w:val="04A0" w:firstRow="1" w:lastRow="0" w:firstColumn="1" w:lastColumn="0" w:noHBand="0" w:noVBand="1"/>
      </w:tblPr>
      <w:tblGrid>
        <w:gridCol w:w="5128"/>
        <w:gridCol w:w="8901"/>
      </w:tblGrid>
      <w:tr w:rsidR="00BF46C7" w:rsidRPr="007A6D7F" w14:paraId="664A0856" w14:textId="2EC484E6" w:rsidTr="003778E4">
        <w:tc>
          <w:tcPr>
            <w:tcW w:w="14029" w:type="dxa"/>
            <w:gridSpan w:val="2"/>
            <w:shd w:val="clear" w:color="auto" w:fill="C5E0B3" w:themeFill="accent6" w:themeFillTint="66"/>
          </w:tcPr>
          <w:p w14:paraId="079F6A2A" w14:textId="77777777" w:rsidR="00BF46C7" w:rsidRPr="007A6D7F" w:rsidRDefault="00BF46C7" w:rsidP="007A6D7F">
            <w:pPr>
              <w:jc w:val="center"/>
              <w:rPr>
                <w:rFonts w:ascii="Arial Narrow" w:hAnsi="Arial Narrow" w:cs="Arial"/>
                <w:sz w:val="24"/>
                <w:szCs w:val="24"/>
              </w:rPr>
            </w:pPr>
            <w:r w:rsidRPr="007A6D7F">
              <w:rPr>
                <w:rFonts w:ascii="Arial Narrow" w:hAnsi="Arial Narrow" w:cs="Arial"/>
                <w:sz w:val="24"/>
                <w:szCs w:val="24"/>
              </w:rPr>
              <w:t xml:space="preserve">Przykładowa tabela do </w:t>
            </w:r>
            <w:r w:rsidRPr="007A6D7F">
              <w:rPr>
                <w:rFonts w:ascii="Arial Narrow" w:hAnsi="Arial Narrow" w:cs="Arial"/>
                <w:sz w:val="24"/>
                <w:szCs w:val="24"/>
                <w:shd w:val="clear" w:color="auto" w:fill="C5E0B3" w:themeFill="accent6" w:themeFillTint="66"/>
              </w:rPr>
              <w:t>zebrania informacji</w:t>
            </w:r>
          </w:p>
        </w:tc>
      </w:tr>
      <w:tr w:rsidR="00BF46C7" w:rsidRPr="007A6D7F" w14:paraId="46992EEC" w14:textId="4BCCDCF5" w:rsidTr="003778E4">
        <w:tc>
          <w:tcPr>
            <w:tcW w:w="5128" w:type="dxa"/>
            <w:shd w:val="clear" w:color="auto" w:fill="E2EFD9" w:themeFill="accent6" w:themeFillTint="33"/>
          </w:tcPr>
          <w:p w14:paraId="427DAF6A" w14:textId="49FEBD16" w:rsidR="00BF46C7" w:rsidRPr="007A6D7F" w:rsidRDefault="00BF46C7">
            <w:pPr>
              <w:rPr>
                <w:rFonts w:ascii="Arial Narrow" w:hAnsi="Arial Narrow" w:cs="Arial"/>
                <w:sz w:val="24"/>
                <w:szCs w:val="24"/>
              </w:rPr>
            </w:pPr>
            <w:r w:rsidRPr="007A6D7F">
              <w:rPr>
                <w:rFonts w:ascii="Arial Narrow" w:hAnsi="Arial Narrow" w:cs="Arial"/>
                <w:sz w:val="24"/>
                <w:szCs w:val="24"/>
              </w:rPr>
              <w:t>Treść polecenia</w:t>
            </w:r>
          </w:p>
        </w:tc>
        <w:tc>
          <w:tcPr>
            <w:tcW w:w="8901" w:type="dxa"/>
            <w:shd w:val="clear" w:color="auto" w:fill="E2EFD9" w:themeFill="accent6" w:themeFillTint="33"/>
          </w:tcPr>
          <w:p w14:paraId="6ABF43CE" w14:textId="62ABE818" w:rsidR="00BF46C7" w:rsidRPr="007A6D7F" w:rsidRDefault="00BF46C7">
            <w:pPr>
              <w:rPr>
                <w:rFonts w:ascii="Arial Narrow" w:hAnsi="Arial Narrow" w:cs="Arial"/>
                <w:sz w:val="24"/>
                <w:szCs w:val="24"/>
              </w:rPr>
            </w:pPr>
          </w:p>
        </w:tc>
      </w:tr>
      <w:tr w:rsidR="00BF46C7" w:rsidRPr="007A6D7F" w14:paraId="5CD46DC2" w14:textId="77777777" w:rsidTr="003778E4">
        <w:trPr>
          <w:trHeight w:val="482"/>
        </w:trPr>
        <w:tc>
          <w:tcPr>
            <w:tcW w:w="5128" w:type="dxa"/>
          </w:tcPr>
          <w:p w14:paraId="314BA9F1" w14:textId="06B04A31" w:rsidR="00BF46C7" w:rsidRPr="00CC5632" w:rsidRDefault="003778E4" w:rsidP="002E0DB0">
            <w:pPr>
              <w:rPr>
                <w:rFonts w:ascii="Arial Narrow" w:hAnsi="Arial Narrow" w:cs="Arial"/>
                <w:sz w:val="24"/>
                <w:szCs w:val="24"/>
              </w:rPr>
            </w:pPr>
            <w:r w:rsidRPr="003778E4">
              <w:rPr>
                <w:rFonts w:ascii="Arial Narrow" w:hAnsi="Arial Narrow" w:cs="Arial"/>
                <w:sz w:val="24"/>
                <w:szCs w:val="24"/>
              </w:rPr>
              <w:t>Proszę podać kod NACE</w:t>
            </w:r>
            <w:r w:rsidR="006E61DD">
              <w:rPr>
                <w:rStyle w:val="Odwoanieprzypisudolnego"/>
                <w:rFonts w:ascii="Arial Narrow" w:hAnsi="Arial Narrow" w:cs="Arial"/>
                <w:sz w:val="24"/>
                <w:szCs w:val="24"/>
              </w:rPr>
              <w:footnoteReference w:id="1"/>
            </w:r>
            <w:r w:rsidRPr="003778E4">
              <w:rPr>
                <w:rFonts w:ascii="Arial Narrow" w:hAnsi="Arial Narrow" w:cs="Arial"/>
                <w:sz w:val="24"/>
                <w:szCs w:val="24"/>
              </w:rPr>
              <w:t xml:space="preserve"> dla grupy kapitałowej/spółki matki/spółki ubiegającej się o finansowanie</w:t>
            </w:r>
          </w:p>
        </w:tc>
        <w:tc>
          <w:tcPr>
            <w:tcW w:w="8901" w:type="dxa"/>
          </w:tcPr>
          <w:p w14:paraId="3EC34FCD" w14:textId="77777777" w:rsidR="00BF46C7" w:rsidRPr="007A6D7F" w:rsidRDefault="00BF46C7">
            <w:pPr>
              <w:rPr>
                <w:rFonts w:ascii="Arial Narrow" w:hAnsi="Arial Narrow" w:cs="Arial"/>
                <w:sz w:val="24"/>
                <w:szCs w:val="24"/>
              </w:rPr>
            </w:pPr>
          </w:p>
        </w:tc>
      </w:tr>
    </w:tbl>
    <w:p w14:paraId="3AC5BD3B" w14:textId="27AFBB11" w:rsidR="00D57E26" w:rsidRDefault="00D57E26"/>
    <w:sectPr w:rsidR="00D57E26" w:rsidSect="00E941B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7BAA" w14:textId="77777777" w:rsidR="00A15D25" w:rsidRDefault="00A15D25" w:rsidP="006E61DD">
      <w:pPr>
        <w:spacing w:after="0" w:line="240" w:lineRule="auto"/>
      </w:pPr>
      <w:r>
        <w:separator/>
      </w:r>
    </w:p>
  </w:endnote>
  <w:endnote w:type="continuationSeparator" w:id="0">
    <w:p w14:paraId="3D36CC23" w14:textId="77777777" w:rsidR="00A15D25" w:rsidRDefault="00A15D25" w:rsidP="006E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82F6" w14:textId="77777777" w:rsidR="00A15D25" w:rsidRDefault="00A15D25" w:rsidP="006E61DD">
      <w:pPr>
        <w:spacing w:after="0" w:line="240" w:lineRule="auto"/>
      </w:pPr>
      <w:r>
        <w:separator/>
      </w:r>
    </w:p>
  </w:footnote>
  <w:footnote w:type="continuationSeparator" w:id="0">
    <w:p w14:paraId="4DE30EA2" w14:textId="77777777" w:rsidR="00A15D25" w:rsidRDefault="00A15D25" w:rsidP="006E61DD">
      <w:pPr>
        <w:spacing w:after="0" w:line="240" w:lineRule="auto"/>
      </w:pPr>
      <w:r>
        <w:continuationSeparator/>
      </w:r>
    </w:p>
  </w:footnote>
  <w:footnote w:id="1">
    <w:p w14:paraId="341AE4D0" w14:textId="0FF6B4C3" w:rsidR="006E61DD" w:rsidRDefault="006E61DD">
      <w:pPr>
        <w:pStyle w:val="Tekstprzypisudolnego"/>
      </w:pPr>
      <w:r>
        <w:rPr>
          <w:rStyle w:val="Odwoanieprzypisudolnego"/>
        </w:rPr>
        <w:footnoteRef/>
      </w:r>
      <w:r>
        <w:t xml:space="preserve"> W przypadku trudność z przypisaniem NACE można się posiłkować tabelą, która jest załącznikiem do tego wskaźnika. Zawiera ona przełożenie PKD na NACE.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F32"/>
    <w:multiLevelType w:val="hybridMultilevel"/>
    <w:tmpl w:val="DAC4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764566"/>
    <w:multiLevelType w:val="hybridMultilevel"/>
    <w:tmpl w:val="34F8646A"/>
    <w:lvl w:ilvl="0" w:tplc="AEBCDB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2556B5"/>
    <w:multiLevelType w:val="hybridMultilevel"/>
    <w:tmpl w:val="5658C5AC"/>
    <w:lvl w:ilvl="0" w:tplc="0382D54E">
      <w:start w:val="1"/>
      <w:numFmt w:val="decimal"/>
      <w:lvlText w:val="%1."/>
      <w:lvlJc w:val="left"/>
      <w:pPr>
        <w:ind w:left="42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E32669A"/>
    <w:multiLevelType w:val="hybridMultilevel"/>
    <w:tmpl w:val="321A7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E876EF"/>
    <w:multiLevelType w:val="hybridMultilevel"/>
    <w:tmpl w:val="1AE65002"/>
    <w:lvl w:ilvl="0" w:tplc="0415000F">
      <w:start w:val="1"/>
      <w:numFmt w:val="decimal"/>
      <w:lvlText w:val="%1."/>
      <w:lvlJc w:val="left"/>
      <w:pPr>
        <w:ind w:left="-514" w:hanging="360"/>
      </w:pPr>
    </w:lvl>
    <w:lvl w:ilvl="1" w:tplc="04150019" w:tentative="1">
      <w:start w:val="1"/>
      <w:numFmt w:val="lowerLetter"/>
      <w:lvlText w:val="%2."/>
      <w:lvlJc w:val="left"/>
      <w:pPr>
        <w:ind w:left="424" w:hanging="360"/>
      </w:pPr>
    </w:lvl>
    <w:lvl w:ilvl="2" w:tplc="0415001B" w:tentative="1">
      <w:start w:val="1"/>
      <w:numFmt w:val="lowerRoman"/>
      <w:lvlText w:val="%3."/>
      <w:lvlJc w:val="right"/>
      <w:pPr>
        <w:ind w:left="114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2584" w:hanging="360"/>
      </w:pPr>
    </w:lvl>
    <w:lvl w:ilvl="5" w:tplc="0415001B" w:tentative="1">
      <w:start w:val="1"/>
      <w:numFmt w:val="lowerRoman"/>
      <w:lvlText w:val="%6."/>
      <w:lvlJc w:val="right"/>
      <w:pPr>
        <w:ind w:left="3304" w:hanging="180"/>
      </w:pPr>
    </w:lvl>
    <w:lvl w:ilvl="6" w:tplc="0415000F" w:tentative="1">
      <w:start w:val="1"/>
      <w:numFmt w:val="decimal"/>
      <w:lvlText w:val="%7."/>
      <w:lvlJc w:val="left"/>
      <w:pPr>
        <w:ind w:left="4024" w:hanging="360"/>
      </w:pPr>
    </w:lvl>
    <w:lvl w:ilvl="7" w:tplc="04150019" w:tentative="1">
      <w:start w:val="1"/>
      <w:numFmt w:val="lowerLetter"/>
      <w:lvlText w:val="%8."/>
      <w:lvlJc w:val="left"/>
      <w:pPr>
        <w:ind w:left="4744" w:hanging="360"/>
      </w:pPr>
    </w:lvl>
    <w:lvl w:ilvl="8" w:tplc="0415001B" w:tentative="1">
      <w:start w:val="1"/>
      <w:numFmt w:val="lowerRoman"/>
      <w:lvlText w:val="%9."/>
      <w:lvlJc w:val="right"/>
      <w:pPr>
        <w:ind w:left="5464"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B7"/>
    <w:rsid w:val="00065EEE"/>
    <w:rsid w:val="00107C4A"/>
    <w:rsid w:val="0012349A"/>
    <w:rsid w:val="00146053"/>
    <w:rsid w:val="00151760"/>
    <w:rsid w:val="002A018C"/>
    <w:rsid w:val="002D3B5D"/>
    <w:rsid w:val="002E0DB0"/>
    <w:rsid w:val="002E42AD"/>
    <w:rsid w:val="00303994"/>
    <w:rsid w:val="003778E4"/>
    <w:rsid w:val="0056282A"/>
    <w:rsid w:val="005D1DD8"/>
    <w:rsid w:val="006A71E0"/>
    <w:rsid w:val="006E61DD"/>
    <w:rsid w:val="006F130D"/>
    <w:rsid w:val="006F6901"/>
    <w:rsid w:val="00712556"/>
    <w:rsid w:val="007A6D7F"/>
    <w:rsid w:val="007C7CEF"/>
    <w:rsid w:val="00852E8E"/>
    <w:rsid w:val="00A15D25"/>
    <w:rsid w:val="00B469BB"/>
    <w:rsid w:val="00B523AA"/>
    <w:rsid w:val="00B5394A"/>
    <w:rsid w:val="00B908E9"/>
    <w:rsid w:val="00BC310B"/>
    <w:rsid w:val="00BF46C7"/>
    <w:rsid w:val="00CC5632"/>
    <w:rsid w:val="00D57E26"/>
    <w:rsid w:val="00E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E61E"/>
  <w15:chartTrackingRefBased/>
  <w15:docId w15:val="{6393A964-DEFD-4269-9299-0D8FC1D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4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1B7"/>
    <w:rPr>
      <w:rFonts w:ascii="Segoe UI" w:hAnsi="Segoe UI" w:cs="Segoe UI"/>
      <w:sz w:val="18"/>
      <w:szCs w:val="18"/>
    </w:rPr>
  </w:style>
  <w:style w:type="table" w:styleId="Tabela-Siatka">
    <w:name w:val="Table Grid"/>
    <w:basedOn w:val="Standardowy"/>
    <w:uiPriority w:val="39"/>
    <w:rsid w:val="00E9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41B7"/>
    <w:pPr>
      <w:ind w:left="720"/>
      <w:contextualSpacing/>
    </w:pPr>
  </w:style>
  <w:style w:type="character" w:styleId="Hipercze">
    <w:name w:val="Hyperlink"/>
    <w:basedOn w:val="Domylnaczcionkaakapitu"/>
    <w:uiPriority w:val="99"/>
    <w:unhideWhenUsed/>
    <w:rsid w:val="00E941B7"/>
    <w:rPr>
      <w:color w:val="0563C1" w:themeColor="hyperlink"/>
      <w:u w:val="single"/>
    </w:rPr>
  </w:style>
  <w:style w:type="character" w:styleId="Nierozpoznanawzmianka">
    <w:name w:val="Unresolved Mention"/>
    <w:basedOn w:val="Domylnaczcionkaakapitu"/>
    <w:uiPriority w:val="99"/>
    <w:semiHidden/>
    <w:unhideWhenUsed/>
    <w:rsid w:val="00E941B7"/>
    <w:rPr>
      <w:color w:val="605E5C"/>
      <w:shd w:val="clear" w:color="auto" w:fill="E1DFDD"/>
    </w:rPr>
  </w:style>
  <w:style w:type="character" w:customStyle="1" w:styleId="jlqj4b">
    <w:name w:val="jlqj4b"/>
    <w:basedOn w:val="Domylnaczcionkaakapitu"/>
    <w:rsid w:val="00D57E26"/>
  </w:style>
  <w:style w:type="character" w:customStyle="1" w:styleId="viiyi">
    <w:name w:val="viiyi"/>
    <w:basedOn w:val="Domylnaczcionkaakapitu"/>
    <w:rsid w:val="00D57E26"/>
  </w:style>
  <w:style w:type="paragraph" w:styleId="Tekstprzypisudolnego">
    <w:name w:val="footnote text"/>
    <w:basedOn w:val="Normalny"/>
    <w:link w:val="TekstprzypisudolnegoZnak"/>
    <w:uiPriority w:val="99"/>
    <w:semiHidden/>
    <w:unhideWhenUsed/>
    <w:rsid w:val="006E61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61DD"/>
    <w:rPr>
      <w:sz w:val="20"/>
      <w:szCs w:val="20"/>
    </w:rPr>
  </w:style>
  <w:style w:type="character" w:styleId="Odwoanieprzypisudolnego">
    <w:name w:val="footnote reference"/>
    <w:basedOn w:val="Domylnaczcionkaakapitu"/>
    <w:uiPriority w:val="99"/>
    <w:semiHidden/>
    <w:unhideWhenUsed/>
    <w:rsid w:val="006E6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competition/mergers/cases/index/nace_all.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1363-A79B-4C1B-865E-BCD9B82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4441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 Agnieszka</dc:creator>
  <cp:keywords/>
  <dc:description/>
  <cp:lastModifiedBy>Magdalena Chodorowska</cp:lastModifiedBy>
  <cp:revision>2</cp:revision>
  <dcterms:created xsi:type="dcterms:W3CDTF">2020-12-21T16:27:00Z</dcterms:created>
  <dcterms:modified xsi:type="dcterms:W3CDTF">2020-12-21T16:27:00Z</dcterms:modified>
</cp:coreProperties>
</file>