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A512" w14:textId="7ED9023E" w:rsidR="007A6D7F" w:rsidRPr="007A6D7F" w:rsidRDefault="007A6D7F" w:rsidP="007A6D7F">
      <w:pPr>
        <w:jc w:val="center"/>
        <w:rPr>
          <w:rFonts w:ascii="Arial Narrow" w:hAnsi="Arial Narrow" w:cs="Arial"/>
          <w:b/>
          <w:bCs/>
          <w:sz w:val="28"/>
          <w:szCs w:val="28"/>
          <w:u w:val="single"/>
        </w:rPr>
      </w:pPr>
      <w:r w:rsidRPr="007A6D7F">
        <w:rPr>
          <w:rFonts w:ascii="Arial Narrow" w:hAnsi="Arial Narrow" w:cs="Arial"/>
          <w:b/>
          <w:bCs/>
          <w:sz w:val="28"/>
          <w:szCs w:val="28"/>
          <w:u w:val="single"/>
        </w:rPr>
        <w:t xml:space="preserve">WSKAŹNIK </w:t>
      </w:r>
      <w:r w:rsidR="00107C4A">
        <w:rPr>
          <w:rFonts w:ascii="Arial Narrow" w:hAnsi="Arial Narrow" w:cs="Arial"/>
          <w:b/>
          <w:bCs/>
          <w:sz w:val="28"/>
          <w:szCs w:val="28"/>
          <w:u w:val="single"/>
        </w:rPr>
        <w:t>6</w:t>
      </w:r>
    </w:p>
    <w:p w14:paraId="03B1C0D4" w14:textId="6FC59D3A" w:rsidR="002E0DB0" w:rsidRPr="007A6D7F" w:rsidRDefault="002E0DB0" w:rsidP="002E0DB0">
      <w:pPr>
        <w:rPr>
          <w:rFonts w:ascii="Arial Narrow" w:hAnsi="Arial Narrow" w:cs="Arial"/>
          <w:sz w:val="24"/>
          <w:szCs w:val="24"/>
          <w:u w:val="single"/>
        </w:rPr>
      </w:pPr>
      <w:r w:rsidRPr="007A6D7F">
        <w:rPr>
          <w:rFonts w:ascii="Arial Narrow" w:hAnsi="Arial Narrow" w:cs="Arial"/>
          <w:sz w:val="24"/>
          <w:szCs w:val="24"/>
          <w:u w:val="single"/>
        </w:rPr>
        <w:t>Zastrzeżenia ogóle</w:t>
      </w:r>
    </w:p>
    <w:p w14:paraId="553F2D8D" w14:textId="6895D12A" w:rsidR="002E0DB0" w:rsidRPr="007A6D7F" w:rsidRDefault="002E0DB0" w:rsidP="007A6D7F">
      <w:pPr>
        <w:jc w:val="both"/>
        <w:rPr>
          <w:rFonts w:ascii="Arial Narrow" w:hAnsi="Arial Narrow" w:cs="Arial"/>
          <w:b/>
          <w:bCs/>
          <w:sz w:val="24"/>
          <w:szCs w:val="24"/>
        </w:rPr>
      </w:pPr>
      <w:r w:rsidRPr="007A6D7F">
        <w:rPr>
          <w:rFonts w:ascii="Arial Narrow" w:hAnsi="Arial Narrow" w:cs="Arial"/>
          <w:sz w:val="24"/>
          <w:szCs w:val="24"/>
        </w:rPr>
        <w:t xml:space="preserve">1. Co do zasady powinno się raportować </w:t>
      </w:r>
      <w:r w:rsidRPr="007A6D7F">
        <w:rPr>
          <w:rFonts w:ascii="Arial Narrow" w:hAnsi="Arial Narrow" w:cs="Arial"/>
          <w:b/>
          <w:bCs/>
          <w:sz w:val="24"/>
          <w:szCs w:val="24"/>
          <w:u w:val="single"/>
        </w:rPr>
        <w:t>w ujęciu grupy, a nie podmiotu.</w:t>
      </w:r>
      <w:r w:rsidRPr="007A6D7F">
        <w:rPr>
          <w:rFonts w:ascii="Arial Narrow" w:hAnsi="Arial Narrow" w:cs="Arial"/>
          <w:sz w:val="24"/>
          <w:szCs w:val="24"/>
        </w:rPr>
        <w:t xml:space="preserve"> </w:t>
      </w:r>
      <w:r w:rsidR="007A6D7F">
        <w:rPr>
          <w:rFonts w:ascii="Arial Narrow" w:hAnsi="Arial Narrow" w:cs="Arial"/>
          <w:sz w:val="24"/>
          <w:szCs w:val="24"/>
        </w:rPr>
        <w:t>Definicja g</w:t>
      </w:r>
      <w:r w:rsidR="007A6D7F" w:rsidRPr="007A6D7F">
        <w:rPr>
          <w:rFonts w:ascii="Arial Narrow" w:hAnsi="Arial Narrow" w:cs="Arial"/>
          <w:sz w:val="24"/>
          <w:szCs w:val="24"/>
        </w:rPr>
        <w:t>rup</w:t>
      </w:r>
      <w:r w:rsidR="007A6D7F">
        <w:rPr>
          <w:rFonts w:ascii="Arial Narrow" w:hAnsi="Arial Narrow" w:cs="Arial"/>
          <w:sz w:val="24"/>
          <w:szCs w:val="24"/>
        </w:rPr>
        <w:t xml:space="preserve">y </w:t>
      </w:r>
      <w:r w:rsidR="007A6D7F" w:rsidRPr="007A6D7F">
        <w:rPr>
          <w:rFonts w:ascii="Arial Narrow" w:hAnsi="Arial Narrow" w:cs="Arial"/>
          <w:sz w:val="24"/>
          <w:szCs w:val="24"/>
        </w:rPr>
        <w:t>kapitałow</w:t>
      </w:r>
      <w:r w:rsidR="007A6D7F">
        <w:rPr>
          <w:rFonts w:ascii="Arial Narrow" w:hAnsi="Arial Narrow" w:cs="Arial"/>
          <w:sz w:val="24"/>
          <w:szCs w:val="24"/>
        </w:rPr>
        <w:t>ej</w:t>
      </w:r>
      <w:r w:rsidR="007A6D7F" w:rsidRPr="007A6D7F">
        <w:rPr>
          <w:rFonts w:ascii="Arial Narrow" w:hAnsi="Arial Narrow" w:cs="Arial"/>
          <w:sz w:val="24"/>
          <w:szCs w:val="24"/>
        </w:rPr>
        <w:t xml:space="preserve"> z ustawy o rachunkowości.</w:t>
      </w:r>
    </w:p>
    <w:p w14:paraId="73C35E53" w14:textId="77777777" w:rsidR="002E0DB0" w:rsidRPr="007A6D7F" w:rsidRDefault="002E0DB0" w:rsidP="007A6D7F">
      <w:pPr>
        <w:jc w:val="both"/>
        <w:rPr>
          <w:rFonts w:ascii="Arial Narrow" w:hAnsi="Arial Narrow" w:cs="Arial"/>
          <w:sz w:val="24"/>
          <w:szCs w:val="24"/>
        </w:rPr>
      </w:pPr>
      <w:r w:rsidRPr="007A6D7F">
        <w:rPr>
          <w:rFonts w:ascii="Arial Narrow" w:hAnsi="Arial Narrow" w:cs="Arial"/>
          <w:sz w:val="24"/>
          <w:szCs w:val="24"/>
        </w:rPr>
        <w:t xml:space="preserve">2. Jeśli istnieją globalne/wspólne standardy to będą one miały pierwszeństwo, żeby nie narzucać nowych metod liczenia i nowych obowiązków. </w:t>
      </w:r>
    </w:p>
    <w:p w14:paraId="341794BF" w14:textId="5E998F60" w:rsidR="00E941B7" w:rsidRDefault="002E0DB0" w:rsidP="002E42AD">
      <w:pPr>
        <w:jc w:val="both"/>
        <w:rPr>
          <w:rFonts w:ascii="Arial Narrow" w:hAnsi="Arial Narrow" w:cs="Arial"/>
          <w:sz w:val="24"/>
          <w:szCs w:val="24"/>
        </w:rPr>
      </w:pPr>
      <w:r w:rsidRPr="007A6D7F">
        <w:rPr>
          <w:rFonts w:ascii="Arial Narrow" w:hAnsi="Arial Narrow" w:cs="Arial"/>
          <w:sz w:val="24"/>
          <w:szCs w:val="24"/>
        </w:rPr>
        <w:t xml:space="preserve">3. Należy wypracować wspólne podejście do przedsiębiorstw niefinansowych, które nie będą w stanie udostępnić informacji wymaganych zgodnie z tabelą (to podejście powinno być zróżnicowane do co celów danej regulacji – tzn. inne podejście do potrzeby ujawnień instytucji finansowych, inne do oceny ryzyka EGS przy planowaniu finansowania dla inwestycji, jeszcze inna przy dokonywaniu emisji zielonej obligacji). Jednocześnie w niektórych przypadkach klienci instytucji finansowych będą zobowiązani do przekazania danych, na podstawie których to już instytucja finansowa policzy dany wskaźnik. </w:t>
      </w:r>
    </w:p>
    <w:p w14:paraId="44895604" w14:textId="78A23610" w:rsidR="006F6901" w:rsidRPr="002E42AD" w:rsidRDefault="006F6901" w:rsidP="006F6901">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highlight w:val="yellow"/>
        </w:rPr>
        <w:t>Ujawniana i</w:t>
      </w:r>
      <w:r w:rsidRPr="006F6901">
        <w:rPr>
          <w:rFonts w:ascii="Arial Narrow" w:hAnsi="Arial Narrow" w:cs="Arial"/>
          <w:sz w:val="24"/>
          <w:szCs w:val="24"/>
          <w:highlight w:val="yellow"/>
        </w:rPr>
        <w:t>nformacja dotyczy danego roku</w:t>
      </w:r>
      <w:r>
        <w:rPr>
          <w:rFonts w:ascii="Arial Narrow" w:hAnsi="Arial Narrow" w:cs="Arial"/>
          <w:sz w:val="24"/>
          <w:szCs w:val="24"/>
        </w:rPr>
        <w:t xml:space="preserve"> </w:t>
      </w:r>
      <w:r w:rsidRPr="006F6901">
        <w:rPr>
          <w:rFonts w:ascii="Arial Narrow" w:hAnsi="Arial Narrow" w:cs="Arial"/>
          <w:sz w:val="24"/>
          <w:szCs w:val="24"/>
          <w:highlight w:val="yellow"/>
        </w:rPr>
        <w:t>sprawozdawczego.</w:t>
      </w:r>
      <w:r>
        <w:rPr>
          <w:rFonts w:ascii="Arial Narrow" w:hAnsi="Arial Narrow" w:cs="Arial"/>
          <w:sz w:val="24"/>
          <w:szCs w:val="24"/>
        </w:rPr>
        <w:t xml:space="preserve"> </w:t>
      </w:r>
      <w:r w:rsidRPr="006F6901">
        <w:rPr>
          <w:rFonts w:ascii="Arial Narrow" w:hAnsi="Arial Narrow" w:cs="Arial"/>
          <w:sz w:val="24"/>
          <w:szCs w:val="24"/>
          <w:highlight w:val="yellow"/>
        </w:rPr>
        <w:t>Jeśli miałaby dotyczyć innego okresu musi to zostać wprost wskazane.</w:t>
      </w:r>
      <w:r>
        <w:rPr>
          <w:rFonts w:ascii="Arial Narrow" w:hAnsi="Arial Narrow" w:cs="Arial"/>
          <w:sz w:val="24"/>
          <w:szCs w:val="24"/>
        </w:rPr>
        <w:t xml:space="preserve"> </w:t>
      </w:r>
    </w:p>
    <w:p w14:paraId="441E3256" w14:textId="63B5AB25" w:rsidR="006F6901" w:rsidRPr="007A6D7F" w:rsidRDefault="006F6901" w:rsidP="002E42AD">
      <w:pPr>
        <w:jc w:val="both"/>
        <w:rPr>
          <w:rFonts w:ascii="Arial Narrow" w:hAnsi="Arial Narrow" w:cs="Arial"/>
          <w:sz w:val="24"/>
          <w:szCs w:val="24"/>
        </w:rPr>
      </w:pPr>
    </w:p>
    <w:tbl>
      <w:tblPr>
        <w:tblStyle w:val="Tabela-Siatka"/>
        <w:tblW w:w="14315" w:type="dxa"/>
        <w:tblLook w:val="04A0" w:firstRow="1" w:lastRow="0" w:firstColumn="1" w:lastColumn="0" w:noHBand="0" w:noVBand="1"/>
      </w:tblPr>
      <w:tblGrid>
        <w:gridCol w:w="2972"/>
        <w:gridCol w:w="11343"/>
      </w:tblGrid>
      <w:tr w:rsidR="00E941B7" w:rsidRPr="00107C4A" w14:paraId="25D0FFC2" w14:textId="77777777" w:rsidTr="007A6D7F">
        <w:trPr>
          <w:trHeight w:val="643"/>
        </w:trPr>
        <w:tc>
          <w:tcPr>
            <w:tcW w:w="2972" w:type="dxa"/>
            <w:shd w:val="clear" w:color="auto" w:fill="C5E0B3" w:themeFill="accent6" w:themeFillTint="66"/>
          </w:tcPr>
          <w:p w14:paraId="034CBFA3" w14:textId="1783A850" w:rsidR="00E941B7" w:rsidRPr="007A6D7F" w:rsidRDefault="00E941B7">
            <w:pPr>
              <w:rPr>
                <w:rFonts w:ascii="Arial Narrow" w:hAnsi="Arial Narrow" w:cs="Arial"/>
                <w:sz w:val="24"/>
                <w:szCs w:val="24"/>
              </w:rPr>
            </w:pPr>
            <w:r w:rsidRPr="007A6D7F">
              <w:rPr>
                <w:rFonts w:ascii="Arial Narrow" w:hAnsi="Arial Narrow" w:cs="Arial"/>
                <w:b/>
                <w:bCs/>
                <w:sz w:val="24"/>
                <w:szCs w:val="24"/>
              </w:rPr>
              <w:t>Nazwa wskaźnika (EN)</w:t>
            </w:r>
          </w:p>
        </w:tc>
        <w:tc>
          <w:tcPr>
            <w:tcW w:w="11343" w:type="dxa"/>
          </w:tcPr>
          <w:p w14:paraId="32607E4C" w14:textId="7D3E95BA" w:rsidR="00E941B7" w:rsidRPr="007A6D7F" w:rsidRDefault="00303994">
            <w:pPr>
              <w:rPr>
                <w:rFonts w:ascii="Arial Narrow" w:hAnsi="Arial Narrow" w:cs="Arial"/>
                <w:sz w:val="24"/>
                <w:szCs w:val="24"/>
                <w:lang w:val="en-US"/>
              </w:rPr>
            </w:pPr>
            <w:r w:rsidRPr="00303994">
              <w:rPr>
                <w:rFonts w:ascii="Arial Narrow" w:hAnsi="Arial Narrow" w:cs="Arial"/>
                <w:sz w:val="24"/>
                <w:szCs w:val="24"/>
                <w:lang w:val="en-GB"/>
              </w:rPr>
              <w:t>Breakdown of energy consumption by type of non-renewable sources of energy</w:t>
            </w:r>
          </w:p>
        </w:tc>
      </w:tr>
      <w:tr w:rsidR="00E941B7" w:rsidRPr="007A6D7F" w14:paraId="0325BCB8" w14:textId="77777777" w:rsidTr="007A6D7F">
        <w:trPr>
          <w:trHeight w:val="864"/>
        </w:trPr>
        <w:tc>
          <w:tcPr>
            <w:tcW w:w="2972" w:type="dxa"/>
            <w:shd w:val="clear" w:color="auto" w:fill="C5E0B3" w:themeFill="accent6" w:themeFillTint="66"/>
          </w:tcPr>
          <w:p w14:paraId="5DF07311" w14:textId="1A5B9BC6" w:rsidR="00E941B7" w:rsidRPr="007A6D7F" w:rsidRDefault="00E941B7">
            <w:pPr>
              <w:rPr>
                <w:rFonts w:ascii="Arial Narrow" w:hAnsi="Arial Narrow" w:cs="Arial"/>
                <w:sz w:val="24"/>
                <w:szCs w:val="24"/>
                <w:lang w:val="en-US"/>
              </w:rPr>
            </w:pPr>
            <w:r w:rsidRPr="007A6D7F">
              <w:rPr>
                <w:rFonts w:ascii="Arial Narrow" w:hAnsi="Arial Narrow" w:cs="Arial"/>
                <w:b/>
                <w:bCs/>
                <w:sz w:val="24"/>
                <w:szCs w:val="24"/>
              </w:rPr>
              <w:t>Nazwa wskaźnika (PL)</w:t>
            </w:r>
          </w:p>
        </w:tc>
        <w:tc>
          <w:tcPr>
            <w:tcW w:w="11343" w:type="dxa"/>
          </w:tcPr>
          <w:p w14:paraId="6C7B38DA" w14:textId="195F9E77" w:rsidR="00E941B7" w:rsidRPr="007A6D7F" w:rsidRDefault="00303994">
            <w:pPr>
              <w:rPr>
                <w:rFonts w:ascii="Arial Narrow" w:hAnsi="Arial Narrow" w:cs="Arial"/>
                <w:sz w:val="24"/>
                <w:szCs w:val="24"/>
              </w:rPr>
            </w:pPr>
            <w:r w:rsidRPr="00303994">
              <w:rPr>
                <w:rFonts w:ascii="Arial Narrow" w:hAnsi="Arial Narrow" w:cs="Arial"/>
                <w:sz w:val="24"/>
                <w:szCs w:val="24"/>
              </w:rPr>
              <w:t>Podział zużycia energii według rodzajów nieodnawialnych źródeł energii</w:t>
            </w:r>
          </w:p>
        </w:tc>
      </w:tr>
      <w:tr w:rsidR="00E941B7" w:rsidRPr="006F130D" w14:paraId="7FA8446D" w14:textId="77777777" w:rsidTr="00065EEE">
        <w:trPr>
          <w:trHeight w:val="1150"/>
        </w:trPr>
        <w:tc>
          <w:tcPr>
            <w:tcW w:w="2972" w:type="dxa"/>
            <w:shd w:val="clear" w:color="auto" w:fill="C5E0B3" w:themeFill="accent6" w:themeFillTint="66"/>
          </w:tcPr>
          <w:p w14:paraId="59C59743" w14:textId="1DD76450" w:rsidR="00E941B7" w:rsidRPr="007A6D7F" w:rsidRDefault="00E941B7">
            <w:pPr>
              <w:rPr>
                <w:rFonts w:ascii="Arial Narrow" w:hAnsi="Arial Narrow" w:cs="Arial"/>
                <w:sz w:val="24"/>
                <w:szCs w:val="24"/>
              </w:rPr>
            </w:pPr>
            <w:r w:rsidRPr="007A6D7F">
              <w:rPr>
                <w:rFonts w:ascii="Arial Narrow" w:hAnsi="Arial Narrow" w:cs="Arial"/>
                <w:sz w:val="24"/>
                <w:szCs w:val="24"/>
              </w:rPr>
              <w:t>Wykorzystywana metoda obliczeniowa</w:t>
            </w:r>
          </w:p>
        </w:tc>
        <w:tc>
          <w:tcPr>
            <w:tcW w:w="11343" w:type="dxa"/>
          </w:tcPr>
          <w:p w14:paraId="2C430809" w14:textId="46A0E0A4" w:rsidR="002A018C" w:rsidRPr="002A018C" w:rsidRDefault="006F130D" w:rsidP="002A018C">
            <w:pPr>
              <w:rPr>
                <w:rFonts w:ascii="Arial Narrow" w:hAnsi="Arial Narrow" w:cs="Arial"/>
                <w:sz w:val="24"/>
                <w:szCs w:val="24"/>
              </w:rPr>
            </w:pPr>
            <w:r w:rsidRPr="006F130D">
              <w:rPr>
                <w:rFonts w:ascii="Arial Narrow" w:hAnsi="Arial Narrow" w:cs="Arial"/>
                <w:sz w:val="24"/>
                <w:szCs w:val="24"/>
              </w:rPr>
              <w:t>Punktem referencyjnym dla obliczania wskaźnika nr 5 jest GRI 302 Energy</w:t>
            </w:r>
            <w:r w:rsidR="002A018C">
              <w:rPr>
                <w:rFonts w:ascii="Arial Narrow" w:hAnsi="Arial Narrow" w:cs="Arial"/>
                <w:sz w:val="24"/>
                <w:szCs w:val="24"/>
              </w:rPr>
              <w:t xml:space="preserve">, </w:t>
            </w:r>
            <w:proofErr w:type="spellStart"/>
            <w:r w:rsidR="002A018C" w:rsidRPr="002A018C">
              <w:rPr>
                <w:rFonts w:ascii="Arial Narrow" w:hAnsi="Arial Narrow" w:cs="Arial"/>
                <w:sz w:val="24"/>
                <w:szCs w:val="24"/>
              </w:rPr>
              <w:t>Disclosure</w:t>
            </w:r>
            <w:proofErr w:type="spellEnd"/>
            <w:r w:rsidR="002A018C" w:rsidRPr="002A018C">
              <w:rPr>
                <w:rFonts w:ascii="Arial Narrow" w:hAnsi="Arial Narrow" w:cs="Arial"/>
                <w:sz w:val="24"/>
                <w:szCs w:val="24"/>
              </w:rPr>
              <w:t xml:space="preserve"> 302-1 Energy </w:t>
            </w:r>
            <w:proofErr w:type="spellStart"/>
            <w:r w:rsidR="002A018C" w:rsidRPr="002A018C">
              <w:rPr>
                <w:rFonts w:ascii="Arial Narrow" w:hAnsi="Arial Narrow" w:cs="Arial"/>
                <w:sz w:val="24"/>
                <w:szCs w:val="24"/>
              </w:rPr>
              <w:t>consumption</w:t>
            </w:r>
            <w:proofErr w:type="spellEnd"/>
            <w:r w:rsidR="002A018C" w:rsidRPr="002A018C">
              <w:rPr>
                <w:rFonts w:ascii="Arial Narrow" w:hAnsi="Arial Narrow" w:cs="Arial"/>
                <w:sz w:val="24"/>
                <w:szCs w:val="24"/>
              </w:rPr>
              <w:t xml:space="preserve"> </w:t>
            </w:r>
            <w:proofErr w:type="spellStart"/>
            <w:r w:rsidR="002A018C" w:rsidRPr="002A018C">
              <w:rPr>
                <w:rFonts w:ascii="Arial Narrow" w:hAnsi="Arial Narrow" w:cs="Arial"/>
                <w:sz w:val="24"/>
                <w:szCs w:val="24"/>
              </w:rPr>
              <w:t>within</w:t>
            </w:r>
            <w:proofErr w:type="spellEnd"/>
            <w:r w:rsidR="002A018C" w:rsidRPr="002A018C">
              <w:rPr>
                <w:rFonts w:ascii="Arial Narrow" w:hAnsi="Arial Narrow" w:cs="Arial"/>
                <w:sz w:val="24"/>
                <w:szCs w:val="24"/>
              </w:rPr>
              <w:t xml:space="preserve"> the </w:t>
            </w:r>
            <w:proofErr w:type="spellStart"/>
            <w:r w:rsidR="002A018C" w:rsidRPr="002A018C">
              <w:rPr>
                <w:rFonts w:ascii="Arial Narrow" w:hAnsi="Arial Narrow" w:cs="Arial"/>
                <w:sz w:val="24"/>
                <w:szCs w:val="24"/>
              </w:rPr>
              <w:t>organization</w:t>
            </w:r>
            <w:proofErr w:type="spellEnd"/>
            <w:r w:rsidR="002A018C" w:rsidRPr="002A018C">
              <w:rPr>
                <w:rFonts w:ascii="Arial Narrow" w:hAnsi="Arial Narrow" w:cs="Arial"/>
                <w:sz w:val="24"/>
                <w:szCs w:val="24"/>
              </w:rPr>
              <w:t xml:space="preserve"> </w:t>
            </w:r>
          </w:p>
          <w:p w14:paraId="2A0C09D8" w14:textId="24D6C387" w:rsidR="006F130D" w:rsidRPr="002A018C" w:rsidRDefault="00D63EDF" w:rsidP="006F130D">
            <w:pPr>
              <w:rPr>
                <w:rFonts w:ascii="Arial Narrow" w:hAnsi="Arial Narrow" w:cs="Arial"/>
                <w:color w:val="4472C4" w:themeColor="accent1"/>
                <w:sz w:val="24"/>
                <w:szCs w:val="24"/>
                <w:u w:val="single"/>
              </w:rPr>
            </w:pPr>
            <w:hyperlink r:id="rId5" w:history="1">
              <w:r w:rsidR="006F130D" w:rsidRPr="002A018C">
                <w:rPr>
                  <w:rFonts w:ascii="Arial Narrow" w:hAnsi="Arial Narrow" w:cs="Arial"/>
                  <w:color w:val="4472C4" w:themeColor="accent1"/>
                  <w:sz w:val="24"/>
                  <w:szCs w:val="24"/>
                  <w:u w:val="single"/>
                </w:rPr>
                <w:t>https://www.globalreporting.org/standards/media/1009/gri-302-energy-2016.pdf</w:t>
              </w:r>
            </w:hyperlink>
            <w:r w:rsidR="002A018C" w:rsidRPr="002A018C">
              <w:rPr>
                <w:rFonts w:ascii="Arial Narrow" w:hAnsi="Arial Narrow" w:cs="Arial"/>
                <w:color w:val="4472C4" w:themeColor="accent1"/>
                <w:sz w:val="24"/>
                <w:szCs w:val="24"/>
                <w:u w:val="single"/>
              </w:rPr>
              <w:t xml:space="preserve"> </w:t>
            </w:r>
          </w:p>
          <w:p w14:paraId="07A0E116" w14:textId="41E7C828" w:rsidR="006F130D" w:rsidRPr="002A018C" w:rsidRDefault="006F130D" w:rsidP="006F130D">
            <w:pPr>
              <w:rPr>
                <w:rFonts w:ascii="Arial Narrow" w:hAnsi="Arial Narrow" w:cs="Arial"/>
                <w:sz w:val="24"/>
                <w:szCs w:val="24"/>
              </w:rPr>
            </w:pPr>
          </w:p>
          <w:p w14:paraId="73F68517" w14:textId="3C3A3B28" w:rsidR="006F130D" w:rsidRPr="006F130D" w:rsidRDefault="006F130D" w:rsidP="006F130D">
            <w:pPr>
              <w:rPr>
                <w:rFonts w:ascii="Arial Narrow" w:hAnsi="Arial Narrow" w:cs="Arial"/>
                <w:b/>
                <w:bCs/>
                <w:sz w:val="24"/>
                <w:szCs w:val="24"/>
              </w:rPr>
            </w:pPr>
            <w:r w:rsidRPr="006F130D">
              <w:rPr>
                <w:rFonts w:ascii="Arial Narrow" w:hAnsi="Arial Narrow" w:cs="Arial"/>
                <w:sz w:val="24"/>
                <w:szCs w:val="24"/>
              </w:rPr>
              <w:t xml:space="preserve">Jest to jednak standard odnoszący się do łącznej konsumpcji energii w organizacji, zatem nie stanowi pełnego odzwierciedlenia informacji wymaganych do ujawnienia we wskaźniku </w:t>
            </w:r>
            <w:r w:rsidR="00303994">
              <w:rPr>
                <w:rFonts w:ascii="Arial Narrow" w:hAnsi="Arial Narrow" w:cs="Arial"/>
                <w:sz w:val="24"/>
                <w:szCs w:val="24"/>
              </w:rPr>
              <w:t>6</w:t>
            </w:r>
            <w:r w:rsidRPr="006F130D">
              <w:rPr>
                <w:rFonts w:ascii="Arial Narrow" w:hAnsi="Arial Narrow" w:cs="Arial"/>
                <w:sz w:val="24"/>
                <w:szCs w:val="24"/>
              </w:rPr>
              <w:t xml:space="preserve">, ponieważ on odnosi się wyłącznie do </w:t>
            </w:r>
            <w:r w:rsidRPr="006F130D">
              <w:rPr>
                <w:rFonts w:ascii="Arial Narrow" w:hAnsi="Arial Narrow" w:cs="Arial"/>
                <w:b/>
                <w:bCs/>
                <w:sz w:val="24"/>
                <w:szCs w:val="24"/>
              </w:rPr>
              <w:t xml:space="preserve">zużycia energii ze źródeł </w:t>
            </w:r>
            <w:r w:rsidR="00D57E26">
              <w:rPr>
                <w:rFonts w:ascii="Arial Narrow" w:hAnsi="Arial Narrow" w:cs="Arial"/>
                <w:b/>
                <w:bCs/>
                <w:sz w:val="24"/>
                <w:szCs w:val="24"/>
              </w:rPr>
              <w:t>nie</w:t>
            </w:r>
            <w:r w:rsidR="00303994">
              <w:rPr>
                <w:rFonts w:ascii="Arial Narrow" w:hAnsi="Arial Narrow" w:cs="Arial"/>
                <w:b/>
                <w:bCs/>
                <w:sz w:val="24"/>
                <w:szCs w:val="24"/>
              </w:rPr>
              <w:t>odnawialnych</w:t>
            </w:r>
            <w:r w:rsidRPr="006F130D">
              <w:rPr>
                <w:rFonts w:ascii="Arial Narrow" w:hAnsi="Arial Narrow" w:cs="Arial"/>
                <w:b/>
                <w:bCs/>
                <w:sz w:val="24"/>
                <w:szCs w:val="24"/>
              </w:rPr>
              <w:t xml:space="preserve">. </w:t>
            </w:r>
          </w:p>
          <w:p w14:paraId="0C48DCEE" w14:textId="4B646E99" w:rsidR="00E941B7" w:rsidRPr="006F130D" w:rsidRDefault="00E941B7" w:rsidP="00065EEE">
            <w:pPr>
              <w:rPr>
                <w:rFonts w:ascii="Arial Narrow" w:hAnsi="Arial Narrow" w:cs="Arial"/>
                <w:sz w:val="24"/>
                <w:szCs w:val="24"/>
              </w:rPr>
            </w:pPr>
          </w:p>
        </w:tc>
      </w:tr>
      <w:tr w:rsidR="00E941B7" w:rsidRPr="00107C4A" w14:paraId="70B2FBDC" w14:textId="77777777" w:rsidTr="007A6D7F">
        <w:trPr>
          <w:trHeight w:val="49"/>
        </w:trPr>
        <w:tc>
          <w:tcPr>
            <w:tcW w:w="2972" w:type="dxa"/>
            <w:shd w:val="clear" w:color="auto" w:fill="C5E0B3" w:themeFill="accent6" w:themeFillTint="66"/>
          </w:tcPr>
          <w:p w14:paraId="76B80F7A" w14:textId="60ABF6C8" w:rsidR="00E941B7" w:rsidRPr="007A6D7F" w:rsidRDefault="002E0DB0">
            <w:pPr>
              <w:rPr>
                <w:rFonts w:ascii="Arial Narrow" w:hAnsi="Arial Narrow" w:cs="Arial"/>
                <w:sz w:val="24"/>
                <w:szCs w:val="24"/>
              </w:rPr>
            </w:pPr>
            <w:r w:rsidRPr="007A6D7F">
              <w:rPr>
                <w:rFonts w:ascii="Arial Narrow" w:hAnsi="Arial Narrow" w:cs="Arial"/>
                <w:sz w:val="24"/>
                <w:szCs w:val="24"/>
              </w:rPr>
              <w:t xml:space="preserve">Definicja zawarta w projekcie RTS </w:t>
            </w:r>
          </w:p>
        </w:tc>
        <w:tc>
          <w:tcPr>
            <w:tcW w:w="11343" w:type="dxa"/>
          </w:tcPr>
          <w:p w14:paraId="0E36BA54" w14:textId="4D2B33B2" w:rsidR="00065EEE" w:rsidRPr="00303994" w:rsidRDefault="00303994" w:rsidP="006F130D">
            <w:pPr>
              <w:rPr>
                <w:rFonts w:ascii="Arial Narrow" w:hAnsi="Arial Narrow" w:cs="Arial"/>
                <w:sz w:val="24"/>
                <w:szCs w:val="24"/>
                <w:lang w:val="en-US"/>
              </w:rPr>
            </w:pPr>
            <w:r w:rsidRPr="00303994">
              <w:rPr>
                <w:rFonts w:ascii="Arial Narrow" w:hAnsi="Arial Narrow" w:cs="Arial"/>
                <w:sz w:val="24"/>
                <w:szCs w:val="24"/>
                <w:lang w:val="en-US"/>
              </w:rPr>
              <w:t>Share of energy from non-renewable sources used by investee companies broken down by each non-renewable energy source</w:t>
            </w:r>
          </w:p>
        </w:tc>
      </w:tr>
      <w:tr w:rsidR="002E0DB0" w:rsidRPr="007A6D7F" w14:paraId="13FE842B" w14:textId="77777777" w:rsidTr="007A6D7F">
        <w:trPr>
          <w:trHeight w:val="49"/>
        </w:trPr>
        <w:tc>
          <w:tcPr>
            <w:tcW w:w="2972" w:type="dxa"/>
            <w:shd w:val="clear" w:color="auto" w:fill="C5E0B3" w:themeFill="accent6" w:themeFillTint="66"/>
          </w:tcPr>
          <w:p w14:paraId="7EFC9274" w14:textId="743A604E" w:rsidR="002E0DB0" w:rsidRPr="007A6D7F" w:rsidRDefault="002E0DB0" w:rsidP="002E0DB0">
            <w:pPr>
              <w:rPr>
                <w:rFonts w:ascii="Arial Narrow" w:hAnsi="Arial Narrow" w:cs="Arial"/>
                <w:sz w:val="24"/>
                <w:szCs w:val="24"/>
              </w:rPr>
            </w:pPr>
            <w:r w:rsidRPr="007A6D7F">
              <w:rPr>
                <w:rFonts w:ascii="Arial Narrow" w:hAnsi="Arial Narrow" w:cs="Arial"/>
                <w:sz w:val="24"/>
                <w:szCs w:val="24"/>
              </w:rPr>
              <w:t>Informacje uzupełniające</w:t>
            </w:r>
          </w:p>
        </w:tc>
        <w:tc>
          <w:tcPr>
            <w:tcW w:w="11343" w:type="dxa"/>
          </w:tcPr>
          <w:p w14:paraId="722D962D" w14:textId="34DBE22C" w:rsidR="00303994" w:rsidRDefault="002E42AD" w:rsidP="002E42AD">
            <w:pPr>
              <w:rPr>
                <w:rFonts w:ascii="Arial Narrow" w:hAnsi="Arial Narrow" w:cs="Arial"/>
                <w:sz w:val="24"/>
                <w:szCs w:val="24"/>
              </w:rPr>
            </w:pPr>
            <w:r w:rsidRPr="002E42AD">
              <w:rPr>
                <w:rFonts w:ascii="Arial Narrow" w:hAnsi="Arial Narrow" w:cs="Arial"/>
                <w:sz w:val="24"/>
                <w:szCs w:val="24"/>
              </w:rPr>
              <w:t xml:space="preserve">1. </w:t>
            </w:r>
            <w:r w:rsidR="00303994">
              <w:rPr>
                <w:rFonts w:ascii="Arial Narrow" w:hAnsi="Arial Narrow" w:cs="Arial"/>
                <w:sz w:val="24"/>
                <w:szCs w:val="24"/>
              </w:rPr>
              <w:t xml:space="preserve">Do policzenia tego wskaźnika instytucja finansowa musi uzyskać informacje od każdego klienta (instytucji) informacje o zużyciu energii ze źródeł </w:t>
            </w:r>
            <w:r w:rsidR="00D57E26">
              <w:rPr>
                <w:rFonts w:ascii="Arial Narrow" w:hAnsi="Arial Narrow" w:cs="Arial"/>
                <w:sz w:val="24"/>
                <w:szCs w:val="24"/>
              </w:rPr>
              <w:t>nie</w:t>
            </w:r>
            <w:r w:rsidR="00303994">
              <w:rPr>
                <w:rFonts w:ascii="Arial Narrow" w:hAnsi="Arial Narrow" w:cs="Arial"/>
                <w:sz w:val="24"/>
                <w:szCs w:val="24"/>
              </w:rPr>
              <w:t xml:space="preserve">odnawialnych w podziale na typy tych źródeł. </w:t>
            </w:r>
          </w:p>
          <w:p w14:paraId="17CFC925" w14:textId="56DA0300" w:rsidR="002E42AD" w:rsidRPr="002E42AD" w:rsidRDefault="00D57E26" w:rsidP="002E42AD">
            <w:pPr>
              <w:rPr>
                <w:rFonts w:ascii="Arial Narrow" w:hAnsi="Arial Narrow" w:cs="Arial"/>
                <w:sz w:val="24"/>
                <w:szCs w:val="24"/>
              </w:rPr>
            </w:pPr>
            <w:r>
              <w:rPr>
                <w:rFonts w:ascii="Arial Narrow" w:hAnsi="Arial Narrow" w:cs="Arial"/>
                <w:sz w:val="24"/>
                <w:szCs w:val="24"/>
              </w:rPr>
              <w:lastRenderedPageBreak/>
              <w:t xml:space="preserve">2. </w:t>
            </w:r>
            <w:r w:rsidR="006F6901">
              <w:rPr>
                <w:rFonts w:ascii="Arial Narrow" w:hAnsi="Arial Narrow" w:cs="Arial"/>
                <w:sz w:val="24"/>
                <w:szCs w:val="24"/>
              </w:rPr>
              <w:t xml:space="preserve">Każda organizacja podaje wartość zużytej energii ze źródeł </w:t>
            </w:r>
            <w:r>
              <w:rPr>
                <w:rFonts w:ascii="Arial Narrow" w:hAnsi="Arial Narrow" w:cs="Arial"/>
                <w:sz w:val="24"/>
                <w:szCs w:val="24"/>
              </w:rPr>
              <w:t>nie</w:t>
            </w:r>
            <w:r w:rsidR="006F6901">
              <w:rPr>
                <w:rFonts w:ascii="Arial Narrow" w:hAnsi="Arial Narrow" w:cs="Arial"/>
                <w:sz w:val="24"/>
                <w:szCs w:val="24"/>
              </w:rPr>
              <w:t xml:space="preserve">odnawialnych w </w:t>
            </w:r>
            <w:proofErr w:type="spellStart"/>
            <w:r w:rsidR="006F6901">
              <w:rPr>
                <w:rFonts w:ascii="Arial Narrow" w:hAnsi="Arial Narrow" w:cs="Arial"/>
                <w:sz w:val="24"/>
                <w:szCs w:val="24"/>
              </w:rPr>
              <w:t>GWh</w:t>
            </w:r>
            <w:proofErr w:type="spellEnd"/>
            <w:r w:rsidR="006F6901">
              <w:rPr>
                <w:rFonts w:ascii="Arial Narrow" w:hAnsi="Arial Narrow" w:cs="Arial"/>
                <w:sz w:val="24"/>
                <w:szCs w:val="24"/>
              </w:rPr>
              <w:t xml:space="preserve">. </w:t>
            </w:r>
          </w:p>
          <w:p w14:paraId="196451B5" w14:textId="7CF0D289" w:rsidR="002E42AD" w:rsidRPr="00D57E26" w:rsidRDefault="00D57E26" w:rsidP="002E42AD">
            <w:pPr>
              <w:rPr>
                <w:rFonts w:ascii="Arial Narrow" w:hAnsi="Arial Narrow" w:cs="Arial"/>
                <w:sz w:val="24"/>
                <w:szCs w:val="24"/>
                <w:lang w:val="en-US"/>
              </w:rPr>
            </w:pPr>
            <w:r w:rsidRPr="00D57E26">
              <w:rPr>
                <w:rFonts w:ascii="Arial Narrow" w:hAnsi="Arial Narrow" w:cs="Arial"/>
                <w:sz w:val="24"/>
                <w:szCs w:val="24"/>
                <w:lang w:val="en-US"/>
              </w:rPr>
              <w:t>3</w:t>
            </w:r>
            <w:r w:rsidR="002E42AD"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Dla</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wyodrębnienia</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poszczególnych</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typów</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energii</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ze</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źródeł</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odnawialnych</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pomocnicza</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będzie</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definicja</w:t>
            </w:r>
            <w:proofErr w:type="spellEnd"/>
            <w:r w:rsidRPr="00D57E26">
              <w:rPr>
                <w:rFonts w:ascii="Arial Narrow" w:hAnsi="Arial Narrow" w:cs="Arial"/>
                <w:sz w:val="24"/>
                <w:szCs w:val="24"/>
                <w:lang w:val="en-US"/>
              </w:rPr>
              <w:t xml:space="preserve"> </w:t>
            </w:r>
            <w:proofErr w:type="spellStart"/>
            <w:r w:rsidRPr="00D57E26">
              <w:rPr>
                <w:rFonts w:ascii="Arial Narrow" w:hAnsi="Arial Narrow" w:cs="Arial"/>
                <w:sz w:val="24"/>
                <w:szCs w:val="24"/>
                <w:lang w:val="en-US"/>
              </w:rPr>
              <w:t>zawarta</w:t>
            </w:r>
            <w:proofErr w:type="spellEnd"/>
            <w:r w:rsidRPr="00D57E26">
              <w:rPr>
                <w:rFonts w:ascii="Arial Narrow" w:hAnsi="Arial Narrow" w:cs="Arial"/>
                <w:sz w:val="24"/>
                <w:szCs w:val="24"/>
                <w:lang w:val="en-US"/>
              </w:rPr>
              <w:t xml:space="preserve"> w GRI: </w:t>
            </w:r>
            <w:r>
              <w:rPr>
                <w:rFonts w:ascii="Arial Narrow" w:hAnsi="Arial Narrow" w:cs="Arial"/>
                <w:sz w:val="24"/>
                <w:szCs w:val="24"/>
                <w:lang w:val="en-US"/>
              </w:rPr>
              <w:t>“</w:t>
            </w:r>
            <w:r w:rsidRPr="00D57E26">
              <w:rPr>
                <w:rFonts w:ascii="Arial Narrow" w:hAnsi="Arial Narrow" w:cs="Arial"/>
                <w:sz w:val="24"/>
                <w:szCs w:val="24"/>
                <w:lang w:val="en-US"/>
              </w:rPr>
              <w:t>non-renewable energy source energy source that cannot be replenished, reproduced, grown or generated in a short time period through ecological cycles or agricultural processes Note: Non-renewable energy sources can include fuel distilled from petroleum or crude oil, such as gasoline, diesel fuel, jet fuel, and heating oil; natural gas, such as compressed natural gas (CNG), and liquefied natural gas (LNG); fuels extracted from natural gas processing and petroleum refining, such as butane, propane, and liquefied petroleum gas (LPG); coal; and nuclear power.</w:t>
            </w:r>
            <w:r>
              <w:rPr>
                <w:rFonts w:ascii="Arial Narrow" w:hAnsi="Arial Narrow" w:cs="Arial"/>
                <w:sz w:val="24"/>
                <w:szCs w:val="24"/>
                <w:lang w:val="en-US"/>
              </w:rPr>
              <w:t>”</w:t>
            </w:r>
          </w:p>
          <w:p w14:paraId="3DC9BCC5" w14:textId="77777777" w:rsidR="00146053" w:rsidRDefault="00146053" w:rsidP="00146053">
            <w:pPr>
              <w:rPr>
                <w:rFonts w:ascii="Arial Narrow" w:hAnsi="Arial Narrow" w:cs="Arial"/>
                <w:sz w:val="24"/>
                <w:szCs w:val="24"/>
              </w:rPr>
            </w:pPr>
            <w:r>
              <w:rPr>
                <w:rFonts w:ascii="Arial Narrow" w:hAnsi="Arial Narrow" w:cs="Arial"/>
                <w:sz w:val="24"/>
                <w:szCs w:val="24"/>
              </w:rPr>
              <w:t xml:space="preserve">4 Organizacja zakupując energię, którą zużywa nie ma wiedzy na temat tego czy energia pochodzi ze źródeł odnawialnych czy też nieodnawialnych, chyba że kupi certyfikat. Ma natomiast wiedzę na temat tego ile energii ze źródeł nieodnawialnych zużyła w przypadku energii własnej (wyprodukowanej przez te organizację). Dlatego każda instytucja powinna zaraportować informację o zużyciu energii ze źródeł nieodnawialnych w podziale na energię własną i zakupioną. W przypadku energii zakupionej informować organizacja powinna o energii ze źródeł nieodnawialnych tylko w przypadku, gdy zakupiła stosowne certyfikaty (nie ma jednak obowiązku zakupu certyfikatów). </w:t>
            </w:r>
          </w:p>
          <w:p w14:paraId="3A8B7B1B" w14:textId="7F5B93B9" w:rsidR="002E0DB0" w:rsidRPr="00146053" w:rsidRDefault="002E0DB0" w:rsidP="00065EEE">
            <w:pPr>
              <w:rPr>
                <w:rFonts w:ascii="Arial Narrow" w:hAnsi="Arial Narrow" w:cs="Arial"/>
                <w:sz w:val="24"/>
                <w:szCs w:val="24"/>
              </w:rPr>
            </w:pPr>
          </w:p>
        </w:tc>
      </w:tr>
    </w:tbl>
    <w:p w14:paraId="2EE17BAE" w14:textId="1B528892" w:rsidR="002E0DB0" w:rsidRPr="007A6D7F" w:rsidRDefault="002E0DB0">
      <w:pPr>
        <w:rPr>
          <w:rFonts w:ascii="Arial Narrow" w:hAnsi="Arial Narrow" w:cs="Arial"/>
          <w:sz w:val="24"/>
          <w:szCs w:val="24"/>
        </w:rPr>
      </w:pPr>
    </w:p>
    <w:tbl>
      <w:tblPr>
        <w:tblStyle w:val="Tabela-Siatka"/>
        <w:tblW w:w="0" w:type="auto"/>
        <w:tblLook w:val="04A0" w:firstRow="1" w:lastRow="0" w:firstColumn="1" w:lastColumn="0" w:noHBand="0" w:noVBand="1"/>
      </w:tblPr>
      <w:tblGrid>
        <w:gridCol w:w="5128"/>
        <w:gridCol w:w="4365"/>
        <w:gridCol w:w="4110"/>
      </w:tblGrid>
      <w:tr w:rsidR="002A018C" w:rsidRPr="007A6D7F" w14:paraId="664A0856" w14:textId="2EC484E6" w:rsidTr="002A018C">
        <w:tc>
          <w:tcPr>
            <w:tcW w:w="13603" w:type="dxa"/>
            <w:gridSpan w:val="3"/>
            <w:shd w:val="clear" w:color="auto" w:fill="C5E0B3" w:themeFill="accent6" w:themeFillTint="66"/>
          </w:tcPr>
          <w:p w14:paraId="442B4A44" w14:textId="124E094A" w:rsidR="002A018C" w:rsidRPr="007A6D7F" w:rsidRDefault="002A018C" w:rsidP="007A6D7F">
            <w:pPr>
              <w:jc w:val="center"/>
              <w:rPr>
                <w:rFonts w:ascii="Arial Narrow" w:hAnsi="Arial Narrow" w:cs="Arial"/>
                <w:sz w:val="24"/>
                <w:szCs w:val="24"/>
              </w:rPr>
            </w:pPr>
            <w:r w:rsidRPr="007A6D7F">
              <w:rPr>
                <w:rFonts w:ascii="Arial Narrow" w:hAnsi="Arial Narrow" w:cs="Arial"/>
                <w:sz w:val="24"/>
                <w:szCs w:val="24"/>
              </w:rPr>
              <w:t xml:space="preserve">Przykładowa tabela do </w:t>
            </w:r>
            <w:r w:rsidRPr="007A6D7F">
              <w:rPr>
                <w:rFonts w:ascii="Arial Narrow" w:hAnsi="Arial Narrow" w:cs="Arial"/>
                <w:sz w:val="24"/>
                <w:szCs w:val="24"/>
                <w:shd w:val="clear" w:color="auto" w:fill="C5E0B3" w:themeFill="accent6" w:themeFillTint="66"/>
              </w:rPr>
              <w:t>zebrania informacji</w:t>
            </w:r>
          </w:p>
        </w:tc>
      </w:tr>
      <w:tr w:rsidR="002A018C" w:rsidRPr="007A6D7F" w14:paraId="46992EEC" w14:textId="4BCCDCF5" w:rsidTr="002A018C">
        <w:tc>
          <w:tcPr>
            <w:tcW w:w="5128" w:type="dxa"/>
            <w:shd w:val="clear" w:color="auto" w:fill="E2EFD9" w:themeFill="accent6" w:themeFillTint="33"/>
          </w:tcPr>
          <w:p w14:paraId="427DAF6A" w14:textId="49FEBD16" w:rsidR="002A018C" w:rsidRPr="007A6D7F" w:rsidRDefault="002A018C">
            <w:pPr>
              <w:rPr>
                <w:rFonts w:ascii="Arial Narrow" w:hAnsi="Arial Narrow" w:cs="Arial"/>
                <w:sz w:val="24"/>
                <w:szCs w:val="24"/>
              </w:rPr>
            </w:pPr>
            <w:r w:rsidRPr="007A6D7F">
              <w:rPr>
                <w:rFonts w:ascii="Arial Narrow" w:hAnsi="Arial Narrow" w:cs="Arial"/>
                <w:sz w:val="24"/>
                <w:szCs w:val="24"/>
              </w:rPr>
              <w:t>Treść polecenia</w:t>
            </w:r>
          </w:p>
        </w:tc>
        <w:tc>
          <w:tcPr>
            <w:tcW w:w="4365" w:type="dxa"/>
            <w:shd w:val="clear" w:color="auto" w:fill="E2EFD9" w:themeFill="accent6" w:themeFillTint="33"/>
          </w:tcPr>
          <w:p w14:paraId="6ABF43CE" w14:textId="1D705871" w:rsidR="002A018C" w:rsidRPr="007A6D7F" w:rsidRDefault="002A018C">
            <w:pPr>
              <w:rPr>
                <w:rFonts w:ascii="Arial Narrow" w:hAnsi="Arial Narrow" w:cs="Arial"/>
                <w:sz w:val="24"/>
                <w:szCs w:val="24"/>
              </w:rPr>
            </w:pPr>
            <w:r w:rsidRPr="00146053">
              <w:rPr>
                <w:rFonts w:ascii="Arial Narrow" w:hAnsi="Arial Narrow" w:cs="Arial"/>
                <w:b/>
                <w:bCs/>
                <w:sz w:val="24"/>
                <w:szCs w:val="24"/>
              </w:rPr>
              <w:t xml:space="preserve">Zakupiona energia w </w:t>
            </w:r>
            <w:proofErr w:type="spellStart"/>
            <w:r w:rsidRPr="00146053">
              <w:rPr>
                <w:rFonts w:ascii="Arial Narrow" w:hAnsi="Arial Narrow" w:cs="Arial"/>
                <w:b/>
                <w:bCs/>
                <w:sz w:val="24"/>
                <w:szCs w:val="24"/>
              </w:rPr>
              <w:t>GWh</w:t>
            </w:r>
            <w:proofErr w:type="spellEnd"/>
            <w:r>
              <w:rPr>
                <w:rFonts w:ascii="Arial Narrow" w:hAnsi="Arial Narrow" w:cs="Arial"/>
                <w:sz w:val="24"/>
                <w:szCs w:val="24"/>
              </w:rPr>
              <w:t xml:space="preserve"> – </w:t>
            </w:r>
            <w:r w:rsidRPr="002A018C">
              <w:rPr>
                <w:rFonts w:ascii="Arial Narrow" w:hAnsi="Arial Narrow" w:cs="Arial"/>
                <w:i/>
                <w:iCs/>
              </w:rPr>
              <w:t>proszę podać wartość wyłącznie w przypadku posiadania wiedzy, w innej sytuacji proszę wskazać „brak danych”</w:t>
            </w:r>
          </w:p>
        </w:tc>
        <w:tc>
          <w:tcPr>
            <w:tcW w:w="4110" w:type="dxa"/>
            <w:shd w:val="clear" w:color="auto" w:fill="E2EFD9" w:themeFill="accent6" w:themeFillTint="33"/>
          </w:tcPr>
          <w:p w14:paraId="0D457D12" w14:textId="30B00B0C" w:rsidR="002A018C" w:rsidRPr="00146053" w:rsidRDefault="002A018C">
            <w:pPr>
              <w:rPr>
                <w:rFonts w:ascii="Arial Narrow" w:hAnsi="Arial Narrow" w:cs="Arial"/>
                <w:b/>
                <w:bCs/>
                <w:sz w:val="24"/>
                <w:szCs w:val="24"/>
              </w:rPr>
            </w:pPr>
            <w:r w:rsidRPr="00146053">
              <w:rPr>
                <w:rFonts w:ascii="Arial Narrow" w:hAnsi="Arial Narrow" w:cs="Arial"/>
                <w:b/>
                <w:bCs/>
                <w:sz w:val="24"/>
                <w:szCs w:val="24"/>
              </w:rPr>
              <w:t xml:space="preserve">Własna energia w </w:t>
            </w:r>
            <w:proofErr w:type="spellStart"/>
            <w:r w:rsidRPr="00146053">
              <w:rPr>
                <w:rFonts w:ascii="Arial Narrow" w:hAnsi="Arial Narrow" w:cs="Arial"/>
                <w:b/>
                <w:bCs/>
                <w:sz w:val="24"/>
                <w:szCs w:val="24"/>
              </w:rPr>
              <w:t>GWh</w:t>
            </w:r>
            <w:proofErr w:type="spellEnd"/>
          </w:p>
        </w:tc>
      </w:tr>
      <w:tr w:rsidR="002A018C" w:rsidRPr="007A6D7F" w14:paraId="5CD46DC2" w14:textId="77777777" w:rsidTr="002A018C">
        <w:trPr>
          <w:trHeight w:val="430"/>
        </w:trPr>
        <w:tc>
          <w:tcPr>
            <w:tcW w:w="5128" w:type="dxa"/>
          </w:tcPr>
          <w:p w14:paraId="314BA9F1" w14:textId="1A030753" w:rsidR="002A018C" w:rsidRPr="002E42AD" w:rsidRDefault="00146053" w:rsidP="002E0DB0">
            <w:pPr>
              <w:rPr>
                <w:rFonts w:ascii="Arial Narrow" w:hAnsi="Arial Narrow" w:cs="Arial"/>
                <w:sz w:val="24"/>
                <w:szCs w:val="24"/>
              </w:rPr>
            </w:pPr>
            <w:r w:rsidRPr="002E42AD">
              <w:rPr>
                <w:rFonts w:ascii="Arial Narrow" w:hAnsi="Arial Narrow" w:cs="Arial"/>
                <w:sz w:val="24"/>
                <w:szCs w:val="24"/>
              </w:rPr>
              <w:t xml:space="preserve">Proszę podać </w:t>
            </w:r>
            <w:r>
              <w:rPr>
                <w:rFonts w:ascii="Arial Narrow" w:hAnsi="Arial Narrow" w:cs="Arial"/>
                <w:sz w:val="24"/>
                <w:szCs w:val="24"/>
              </w:rPr>
              <w:t xml:space="preserve">łączną wartość zużytej energii pochodzącej ze źródeł nieodnawialnych pochodzące z: </w:t>
            </w:r>
          </w:p>
        </w:tc>
        <w:tc>
          <w:tcPr>
            <w:tcW w:w="4365" w:type="dxa"/>
          </w:tcPr>
          <w:p w14:paraId="3EC34FCD" w14:textId="77777777" w:rsidR="002A018C" w:rsidRPr="007A6D7F" w:rsidRDefault="002A018C">
            <w:pPr>
              <w:rPr>
                <w:rFonts w:ascii="Arial Narrow" w:hAnsi="Arial Narrow" w:cs="Arial"/>
                <w:sz w:val="24"/>
                <w:szCs w:val="24"/>
              </w:rPr>
            </w:pPr>
          </w:p>
        </w:tc>
        <w:tc>
          <w:tcPr>
            <w:tcW w:w="4110" w:type="dxa"/>
          </w:tcPr>
          <w:p w14:paraId="65D94FBA" w14:textId="77777777" w:rsidR="002A018C" w:rsidRPr="007A6D7F" w:rsidRDefault="002A018C">
            <w:pPr>
              <w:rPr>
                <w:rFonts w:ascii="Arial Narrow" w:hAnsi="Arial Narrow" w:cs="Arial"/>
                <w:sz w:val="24"/>
                <w:szCs w:val="24"/>
              </w:rPr>
            </w:pPr>
          </w:p>
        </w:tc>
      </w:tr>
      <w:tr w:rsidR="002A018C" w:rsidRPr="007A6D7F" w14:paraId="324F56AF" w14:textId="3DDBDBC1" w:rsidTr="002A018C">
        <w:trPr>
          <w:trHeight w:val="430"/>
        </w:trPr>
        <w:tc>
          <w:tcPr>
            <w:tcW w:w="5128" w:type="dxa"/>
          </w:tcPr>
          <w:p w14:paraId="7DA9DB96" w14:textId="61D071C4" w:rsidR="002A018C" w:rsidRPr="00146053" w:rsidRDefault="00146053" w:rsidP="002E0DB0">
            <w:pPr>
              <w:pStyle w:val="Akapitzlist"/>
              <w:numPr>
                <w:ilvl w:val="0"/>
                <w:numId w:val="3"/>
              </w:numPr>
              <w:rPr>
                <w:rFonts w:ascii="Arial Narrow" w:hAnsi="Arial Narrow" w:cs="Arial"/>
                <w:sz w:val="24"/>
                <w:szCs w:val="24"/>
              </w:rPr>
            </w:pPr>
            <w:r w:rsidRPr="00146053">
              <w:rPr>
                <w:rFonts w:ascii="Arial Narrow" w:hAnsi="Arial Narrow" w:cs="Arial"/>
                <w:sz w:val="24"/>
                <w:szCs w:val="24"/>
              </w:rPr>
              <w:t>paliw destylowanych z ropy naftowej</w:t>
            </w:r>
          </w:p>
        </w:tc>
        <w:tc>
          <w:tcPr>
            <w:tcW w:w="4365" w:type="dxa"/>
          </w:tcPr>
          <w:p w14:paraId="785A111C" w14:textId="77777777" w:rsidR="002A018C" w:rsidRPr="007A6D7F" w:rsidRDefault="002A018C">
            <w:pPr>
              <w:rPr>
                <w:rFonts w:ascii="Arial Narrow" w:hAnsi="Arial Narrow" w:cs="Arial"/>
                <w:sz w:val="24"/>
                <w:szCs w:val="24"/>
              </w:rPr>
            </w:pPr>
          </w:p>
        </w:tc>
        <w:tc>
          <w:tcPr>
            <w:tcW w:w="4110" w:type="dxa"/>
          </w:tcPr>
          <w:p w14:paraId="368A4824" w14:textId="02AD4F5A" w:rsidR="002A018C" w:rsidRPr="007A6D7F" w:rsidRDefault="002A018C">
            <w:pPr>
              <w:rPr>
                <w:rFonts w:ascii="Arial Narrow" w:hAnsi="Arial Narrow" w:cs="Arial"/>
                <w:sz w:val="24"/>
                <w:szCs w:val="24"/>
              </w:rPr>
            </w:pPr>
          </w:p>
        </w:tc>
      </w:tr>
      <w:tr w:rsidR="00146053" w:rsidRPr="007A6D7F" w14:paraId="5CD99FDB" w14:textId="77777777" w:rsidTr="002A018C">
        <w:trPr>
          <w:trHeight w:val="430"/>
        </w:trPr>
        <w:tc>
          <w:tcPr>
            <w:tcW w:w="5128" w:type="dxa"/>
          </w:tcPr>
          <w:p w14:paraId="6C0E7736" w14:textId="508A1534" w:rsidR="00146053" w:rsidRPr="00146053" w:rsidRDefault="00146053" w:rsidP="002E0DB0">
            <w:pPr>
              <w:pStyle w:val="Akapitzlist"/>
              <w:numPr>
                <w:ilvl w:val="0"/>
                <w:numId w:val="3"/>
              </w:numPr>
              <w:rPr>
                <w:rFonts w:ascii="Arial Narrow" w:hAnsi="Arial Narrow" w:cs="Arial"/>
                <w:sz w:val="24"/>
                <w:szCs w:val="24"/>
              </w:rPr>
            </w:pPr>
            <w:r w:rsidRPr="00146053">
              <w:rPr>
                <w:rFonts w:ascii="Arial Narrow" w:hAnsi="Arial Narrow" w:cs="Arial"/>
                <w:sz w:val="24"/>
                <w:szCs w:val="24"/>
              </w:rPr>
              <w:t>gazu ziemnego (CNG) i skroplonego gazu ziemnego (LNG)</w:t>
            </w:r>
          </w:p>
        </w:tc>
        <w:tc>
          <w:tcPr>
            <w:tcW w:w="4365" w:type="dxa"/>
          </w:tcPr>
          <w:p w14:paraId="02004A5B" w14:textId="77777777" w:rsidR="00146053" w:rsidRPr="007A6D7F" w:rsidRDefault="00146053">
            <w:pPr>
              <w:rPr>
                <w:rFonts w:ascii="Arial Narrow" w:hAnsi="Arial Narrow" w:cs="Arial"/>
                <w:sz w:val="24"/>
                <w:szCs w:val="24"/>
              </w:rPr>
            </w:pPr>
          </w:p>
        </w:tc>
        <w:tc>
          <w:tcPr>
            <w:tcW w:w="4110" w:type="dxa"/>
          </w:tcPr>
          <w:p w14:paraId="603142B9" w14:textId="77777777" w:rsidR="00146053" w:rsidRPr="007A6D7F" w:rsidRDefault="00146053">
            <w:pPr>
              <w:rPr>
                <w:rFonts w:ascii="Arial Narrow" w:hAnsi="Arial Narrow" w:cs="Arial"/>
                <w:sz w:val="24"/>
                <w:szCs w:val="24"/>
              </w:rPr>
            </w:pPr>
          </w:p>
        </w:tc>
      </w:tr>
      <w:tr w:rsidR="00146053" w:rsidRPr="007A6D7F" w14:paraId="047504BD" w14:textId="77777777" w:rsidTr="002A018C">
        <w:trPr>
          <w:trHeight w:val="430"/>
        </w:trPr>
        <w:tc>
          <w:tcPr>
            <w:tcW w:w="5128" w:type="dxa"/>
          </w:tcPr>
          <w:p w14:paraId="7E7CC2D1" w14:textId="608CC8C5" w:rsidR="00146053" w:rsidRPr="00146053" w:rsidRDefault="00146053" w:rsidP="002E0DB0">
            <w:pPr>
              <w:pStyle w:val="Akapitzlist"/>
              <w:numPr>
                <w:ilvl w:val="0"/>
                <w:numId w:val="3"/>
              </w:numPr>
              <w:rPr>
                <w:rFonts w:ascii="Arial Narrow" w:hAnsi="Arial Narrow" w:cs="Arial"/>
                <w:sz w:val="24"/>
                <w:szCs w:val="24"/>
              </w:rPr>
            </w:pPr>
            <w:r w:rsidRPr="00146053">
              <w:rPr>
                <w:rFonts w:ascii="Arial Narrow" w:hAnsi="Arial Narrow" w:cs="Arial"/>
                <w:sz w:val="24"/>
                <w:szCs w:val="24"/>
              </w:rPr>
              <w:t>Paliw wydobywanych z przetwarzania gazu ziemnego i rafinacji ropy naftowej, takie jak butan, propan i gaz płynny (LPG)</w:t>
            </w:r>
          </w:p>
        </w:tc>
        <w:tc>
          <w:tcPr>
            <w:tcW w:w="4365" w:type="dxa"/>
          </w:tcPr>
          <w:p w14:paraId="134ACA1C" w14:textId="77777777" w:rsidR="00146053" w:rsidRPr="007A6D7F" w:rsidRDefault="00146053">
            <w:pPr>
              <w:rPr>
                <w:rFonts w:ascii="Arial Narrow" w:hAnsi="Arial Narrow" w:cs="Arial"/>
                <w:sz w:val="24"/>
                <w:szCs w:val="24"/>
              </w:rPr>
            </w:pPr>
          </w:p>
        </w:tc>
        <w:tc>
          <w:tcPr>
            <w:tcW w:w="4110" w:type="dxa"/>
          </w:tcPr>
          <w:p w14:paraId="37384327" w14:textId="77777777" w:rsidR="00146053" w:rsidRPr="007A6D7F" w:rsidRDefault="00146053">
            <w:pPr>
              <w:rPr>
                <w:rFonts w:ascii="Arial Narrow" w:hAnsi="Arial Narrow" w:cs="Arial"/>
                <w:sz w:val="24"/>
                <w:szCs w:val="24"/>
              </w:rPr>
            </w:pPr>
          </w:p>
        </w:tc>
      </w:tr>
      <w:tr w:rsidR="00146053" w:rsidRPr="007A6D7F" w14:paraId="45290EFD" w14:textId="77777777" w:rsidTr="002A018C">
        <w:trPr>
          <w:trHeight w:val="430"/>
        </w:trPr>
        <w:tc>
          <w:tcPr>
            <w:tcW w:w="5128" w:type="dxa"/>
          </w:tcPr>
          <w:p w14:paraId="3167A183" w14:textId="2BA4D9C4" w:rsidR="00146053" w:rsidRPr="00146053" w:rsidRDefault="00146053" w:rsidP="00146053">
            <w:pPr>
              <w:pStyle w:val="Akapitzlist"/>
              <w:numPr>
                <w:ilvl w:val="0"/>
                <w:numId w:val="3"/>
              </w:numPr>
              <w:rPr>
                <w:rFonts w:ascii="Arial Narrow" w:hAnsi="Arial Narrow" w:cs="Arial"/>
                <w:sz w:val="24"/>
                <w:szCs w:val="24"/>
              </w:rPr>
            </w:pPr>
            <w:r w:rsidRPr="00146053">
              <w:rPr>
                <w:rFonts w:ascii="Arial Narrow" w:hAnsi="Arial Narrow" w:cs="Arial"/>
                <w:sz w:val="24"/>
                <w:szCs w:val="24"/>
              </w:rPr>
              <w:t>węgla</w:t>
            </w:r>
            <w:r>
              <w:rPr>
                <w:rFonts w:ascii="Arial Narrow" w:hAnsi="Arial Narrow" w:cs="Arial"/>
                <w:sz w:val="24"/>
                <w:szCs w:val="24"/>
              </w:rPr>
              <w:t xml:space="preserve"> (wszystkie rodzaje węgla)</w:t>
            </w:r>
          </w:p>
        </w:tc>
        <w:tc>
          <w:tcPr>
            <w:tcW w:w="4365" w:type="dxa"/>
          </w:tcPr>
          <w:p w14:paraId="6FABF8A7" w14:textId="77777777" w:rsidR="00146053" w:rsidRPr="007A6D7F" w:rsidRDefault="00146053">
            <w:pPr>
              <w:rPr>
                <w:rFonts w:ascii="Arial Narrow" w:hAnsi="Arial Narrow" w:cs="Arial"/>
                <w:sz w:val="24"/>
                <w:szCs w:val="24"/>
              </w:rPr>
            </w:pPr>
          </w:p>
        </w:tc>
        <w:tc>
          <w:tcPr>
            <w:tcW w:w="4110" w:type="dxa"/>
          </w:tcPr>
          <w:p w14:paraId="336F053F" w14:textId="77777777" w:rsidR="00146053" w:rsidRPr="007A6D7F" w:rsidRDefault="00146053">
            <w:pPr>
              <w:rPr>
                <w:rFonts w:ascii="Arial Narrow" w:hAnsi="Arial Narrow" w:cs="Arial"/>
                <w:sz w:val="24"/>
                <w:szCs w:val="24"/>
              </w:rPr>
            </w:pPr>
          </w:p>
        </w:tc>
      </w:tr>
      <w:tr w:rsidR="00146053" w:rsidRPr="007A6D7F" w14:paraId="38BEAC64" w14:textId="77777777" w:rsidTr="002A018C">
        <w:trPr>
          <w:trHeight w:val="430"/>
        </w:trPr>
        <w:tc>
          <w:tcPr>
            <w:tcW w:w="5128" w:type="dxa"/>
          </w:tcPr>
          <w:p w14:paraId="26A3B863" w14:textId="371B26E4" w:rsidR="00146053" w:rsidRPr="00146053" w:rsidRDefault="00146053" w:rsidP="00146053">
            <w:pPr>
              <w:pStyle w:val="Akapitzlist"/>
              <w:numPr>
                <w:ilvl w:val="0"/>
                <w:numId w:val="3"/>
              </w:numPr>
              <w:rPr>
                <w:rFonts w:ascii="Arial Narrow" w:hAnsi="Arial Narrow" w:cs="Arial"/>
                <w:sz w:val="24"/>
                <w:szCs w:val="24"/>
              </w:rPr>
            </w:pPr>
            <w:r w:rsidRPr="00146053">
              <w:rPr>
                <w:rFonts w:ascii="Arial Narrow" w:hAnsi="Arial Narrow" w:cs="Arial"/>
                <w:sz w:val="24"/>
                <w:szCs w:val="24"/>
              </w:rPr>
              <w:t>energii jądrowej</w:t>
            </w:r>
          </w:p>
        </w:tc>
        <w:tc>
          <w:tcPr>
            <w:tcW w:w="4365" w:type="dxa"/>
          </w:tcPr>
          <w:p w14:paraId="71E57991" w14:textId="77777777" w:rsidR="00146053" w:rsidRPr="007A6D7F" w:rsidRDefault="00146053">
            <w:pPr>
              <w:rPr>
                <w:rFonts w:ascii="Arial Narrow" w:hAnsi="Arial Narrow" w:cs="Arial"/>
                <w:sz w:val="24"/>
                <w:szCs w:val="24"/>
              </w:rPr>
            </w:pPr>
          </w:p>
        </w:tc>
        <w:tc>
          <w:tcPr>
            <w:tcW w:w="4110" w:type="dxa"/>
          </w:tcPr>
          <w:p w14:paraId="0B759415" w14:textId="77777777" w:rsidR="00146053" w:rsidRPr="007A6D7F" w:rsidRDefault="00146053">
            <w:pPr>
              <w:rPr>
                <w:rFonts w:ascii="Arial Narrow" w:hAnsi="Arial Narrow" w:cs="Arial"/>
                <w:sz w:val="24"/>
                <w:szCs w:val="24"/>
              </w:rPr>
            </w:pPr>
          </w:p>
        </w:tc>
      </w:tr>
    </w:tbl>
    <w:p w14:paraId="3AC5BD3B" w14:textId="27AFBB11" w:rsidR="00D57E26" w:rsidRDefault="00D57E26"/>
    <w:sectPr w:rsidR="00D57E26" w:rsidSect="00E941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F32"/>
    <w:multiLevelType w:val="hybridMultilevel"/>
    <w:tmpl w:val="DAC4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32669A"/>
    <w:multiLevelType w:val="hybridMultilevel"/>
    <w:tmpl w:val="321A7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E876EF"/>
    <w:multiLevelType w:val="hybridMultilevel"/>
    <w:tmpl w:val="1AE65002"/>
    <w:lvl w:ilvl="0" w:tplc="0415000F">
      <w:start w:val="1"/>
      <w:numFmt w:val="decimal"/>
      <w:lvlText w:val="%1."/>
      <w:lvlJc w:val="left"/>
      <w:pPr>
        <w:ind w:left="-514" w:hanging="360"/>
      </w:pPr>
    </w:lvl>
    <w:lvl w:ilvl="1" w:tplc="04150019" w:tentative="1">
      <w:start w:val="1"/>
      <w:numFmt w:val="lowerLetter"/>
      <w:lvlText w:val="%2."/>
      <w:lvlJc w:val="left"/>
      <w:pPr>
        <w:ind w:left="424" w:hanging="360"/>
      </w:pPr>
    </w:lvl>
    <w:lvl w:ilvl="2" w:tplc="0415001B" w:tentative="1">
      <w:start w:val="1"/>
      <w:numFmt w:val="lowerRoman"/>
      <w:lvlText w:val="%3."/>
      <w:lvlJc w:val="right"/>
      <w:pPr>
        <w:ind w:left="114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2584" w:hanging="360"/>
      </w:pPr>
    </w:lvl>
    <w:lvl w:ilvl="5" w:tplc="0415001B" w:tentative="1">
      <w:start w:val="1"/>
      <w:numFmt w:val="lowerRoman"/>
      <w:lvlText w:val="%6."/>
      <w:lvlJc w:val="right"/>
      <w:pPr>
        <w:ind w:left="3304" w:hanging="180"/>
      </w:pPr>
    </w:lvl>
    <w:lvl w:ilvl="6" w:tplc="0415000F" w:tentative="1">
      <w:start w:val="1"/>
      <w:numFmt w:val="decimal"/>
      <w:lvlText w:val="%7."/>
      <w:lvlJc w:val="left"/>
      <w:pPr>
        <w:ind w:left="4024" w:hanging="360"/>
      </w:pPr>
    </w:lvl>
    <w:lvl w:ilvl="7" w:tplc="04150019" w:tentative="1">
      <w:start w:val="1"/>
      <w:numFmt w:val="lowerLetter"/>
      <w:lvlText w:val="%8."/>
      <w:lvlJc w:val="left"/>
      <w:pPr>
        <w:ind w:left="4744" w:hanging="360"/>
      </w:pPr>
    </w:lvl>
    <w:lvl w:ilvl="8" w:tplc="0415001B" w:tentative="1">
      <w:start w:val="1"/>
      <w:numFmt w:val="lowerRoman"/>
      <w:lvlText w:val="%9."/>
      <w:lvlJc w:val="right"/>
      <w:pPr>
        <w:ind w:left="54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B7"/>
    <w:rsid w:val="00065EEE"/>
    <w:rsid w:val="00107C4A"/>
    <w:rsid w:val="0012349A"/>
    <w:rsid w:val="00146053"/>
    <w:rsid w:val="00151760"/>
    <w:rsid w:val="002A018C"/>
    <w:rsid w:val="002E0DB0"/>
    <w:rsid w:val="002E42AD"/>
    <w:rsid w:val="00303994"/>
    <w:rsid w:val="0056282A"/>
    <w:rsid w:val="005D1DD8"/>
    <w:rsid w:val="006A71E0"/>
    <w:rsid w:val="006F130D"/>
    <w:rsid w:val="006F6901"/>
    <w:rsid w:val="00712556"/>
    <w:rsid w:val="007A6D7F"/>
    <w:rsid w:val="00852E8E"/>
    <w:rsid w:val="00B523AA"/>
    <w:rsid w:val="00B908E9"/>
    <w:rsid w:val="00D57E26"/>
    <w:rsid w:val="00D63EDF"/>
    <w:rsid w:val="00E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E61E"/>
  <w15:chartTrackingRefBased/>
  <w15:docId w15:val="{6393A964-DEFD-4269-9299-0D8FC1D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1B7"/>
    <w:rPr>
      <w:rFonts w:ascii="Segoe UI" w:hAnsi="Segoe UI" w:cs="Segoe UI"/>
      <w:sz w:val="18"/>
      <w:szCs w:val="18"/>
    </w:rPr>
  </w:style>
  <w:style w:type="table" w:styleId="Tabela-Siatka">
    <w:name w:val="Table Grid"/>
    <w:basedOn w:val="Standardowy"/>
    <w:uiPriority w:val="39"/>
    <w:rsid w:val="00E9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41B7"/>
    <w:pPr>
      <w:ind w:left="720"/>
      <w:contextualSpacing/>
    </w:pPr>
  </w:style>
  <w:style w:type="character" w:styleId="Hipercze">
    <w:name w:val="Hyperlink"/>
    <w:basedOn w:val="Domylnaczcionkaakapitu"/>
    <w:uiPriority w:val="99"/>
    <w:unhideWhenUsed/>
    <w:rsid w:val="00E941B7"/>
    <w:rPr>
      <w:color w:val="0563C1" w:themeColor="hyperlink"/>
      <w:u w:val="single"/>
    </w:rPr>
  </w:style>
  <w:style w:type="character" w:styleId="Nierozpoznanawzmianka">
    <w:name w:val="Unresolved Mention"/>
    <w:basedOn w:val="Domylnaczcionkaakapitu"/>
    <w:uiPriority w:val="99"/>
    <w:semiHidden/>
    <w:unhideWhenUsed/>
    <w:rsid w:val="00E941B7"/>
    <w:rPr>
      <w:color w:val="605E5C"/>
      <w:shd w:val="clear" w:color="auto" w:fill="E1DFDD"/>
    </w:rPr>
  </w:style>
  <w:style w:type="character" w:customStyle="1" w:styleId="jlqj4b">
    <w:name w:val="jlqj4b"/>
    <w:basedOn w:val="Domylnaczcionkaakapitu"/>
    <w:rsid w:val="00D57E26"/>
  </w:style>
  <w:style w:type="character" w:customStyle="1" w:styleId="viiyi">
    <w:name w:val="viiyi"/>
    <w:basedOn w:val="Domylnaczcionkaakapitu"/>
    <w:rsid w:val="00D5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reporting.org/standards/media/1009/gri-302-energy-2016.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 Agnieszka</dc:creator>
  <cp:keywords/>
  <dc:description/>
  <cp:lastModifiedBy>Magdalena Chodorowska</cp:lastModifiedBy>
  <cp:revision>2</cp:revision>
  <dcterms:created xsi:type="dcterms:W3CDTF">2020-12-21T16:26:00Z</dcterms:created>
  <dcterms:modified xsi:type="dcterms:W3CDTF">2020-12-21T16:26:00Z</dcterms:modified>
</cp:coreProperties>
</file>