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DA512" w14:textId="4C6D298F" w:rsidR="007A6D7F" w:rsidRPr="007A6D7F" w:rsidRDefault="007A6D7F" w:rsidP="007A6D7F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A6D7F">
        <w:rPr>
          <w:rFonts w:ascii="Arial Narrow" w:hAnsi="Arial Narrow" w:cs="Arial"/>
          <w:b/>
          <w:bCs/>
          <w:sz w:val="28"/>
          <w:szCs w:val="28"/>
          <w:u w:val="single"/>
        </w:rPr>
        <w:t xml:space="preserve">WSKAŹNIK </w:t>
      </w:r>
      <w:r w:rsidR="00DF3D38">
        <w:rPr>
          <w:rFonts w:ascii="Arial Narrow" w:hAnsi="Arial Narrow" w:cs="Arial"/>
          <w:b/>
          <w:bCs/>
          <w:sz w:val="28"/>
          <w:szCs w:val="28"/>
          <w:u w:val="single"/>
        </w:rPr>
        <w:t>2</w:t>
      </w:r>
    </w:p>
    <w:p w14:paraId="03B1C0D4" w14:textId="6FC59D3A" w:rsidR="002E0DB0" w:rsidRPr="007A6D7F" w:rsidRDefault="002E0DB0" w:rsidP="002E0DB0">
      <w:pPr>
        <w:rPr>
          <w:rFonts w:ascii="Arial Narrow" w:hAnsi="Arial Narrow" w:cs="Arial"/>
          <w:sz w:val="24"/>
          <w:szCs w:val="24"/>
          <w:u w:val="single"/>
        </w:rPr>
      </w:pPr>
      <w:r w:rsidRPr="007A6D7F">
        <w:rPr>
          <w:rFonts w:ascii="Arial Narrow" w:hAnsi="Arial Narrow" w:cs="Arial"/>
          <w:sz w:val="24"/>
          <w:szCs w:val="24"/>
          <w:u w:val="single"/>
        </w:rPr>
        <w:t>Zastrzeżenia ogóle</w:t>
      </w:r>
    </w:p>
    <w:p w14:paraId="553F2D8D" w14:textId="6895D12A" w:rsidR="002E0DB0" w:rsidRPr="007A6D7F" w:rsidRDefault="002E0DB0" w:rsidP="007A6D7F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6D7F">
        <w:rPr>
          <w:rFonts w:ascii="Arial Narrow" w:hAnsi="Arial Narrow" w:cs="Arial"/>
          <w:sz w:val="24"/>
          <w:szCs w:val="24"/>
        </w:rPr>
        <w:t xml:space="preserve">1. Co do zasady powinno się raportować </w:t>
      </w:r>
      <w:r w:rsidRPr="007A6D7F">
        <w:rPr>
          <w:rFonts w:ascii="Arial Narrow" w:hAnsi="Arial Narrow" w:cs="Arial"/>
          <w:b/>
          <w:bCs/>
          <w:sz w:val="24"/>
          <w:szCs w:val="24"/>
          <w:u w:val="single"/>
        </w:rPr>
        <w:t>w ujęciu grupy, a nie podmiotu.</w:t>
      </w:r>
      <w:r w:rsidRPr="007A6D7F">
        <w:rPr>
          <w:rFonts w:ascii="Arial Narrow" w:hAnsi="Arial Narrow" w:cs="Arial"/>
          <w:sz w:val="24"/>
          <w:szCs w:val="24"/>
        </w:rPr>
        <w:t xml:space="preserve"> </w:t>
      </w:r>
      <w:r w:rsidR="007A6D7F">
        <w:rPr>
          <w:rFonts w:ascii="Arial Narrow" w:hAnsi="Arial Narrow" w:cs="Arial"/>
          <w:sz w:val="24"/>
          <w:szCs w:val="24"/>
        </w:rPr>
        <w:t>Definicja g</w:t>
      </w:r>
      <w:r w:rsidR="007A6D7F" w:rsidRPr="007A6D7F">
        <w:rPr>
          <w:rFonts w:ascii="Arial Narrow" w:hAnsi="Arial Narrow" w:cs="Arial"/>
          <w:sz w:val="24"/>
          <w:szCs w:val="24"/>
        </w:rPr>
        <w:t>rup</w:t>
      </w:r>
      <w:r w:rsidR="007A6D7F">
        <w:rPr>
          <w:rFonts w:ascii="Arial Narrow" w:hAnsi="Arial Narrow" w:cs="Arial"/>
          <w:sz w:val="24"/>
          <w:szCs w:val="24"/>
        </w:rPr>
        <w:t xml:space="preserve">y </w:t>
      </w:r>
      <w:r w:rsidR="007A6D7F" w:rsidRPr="007A6D7F">
        <w:rPr>
          <w:rFonts w:ascii="Arial Narrow" w:hAnsi="Arial Narrow" w:cs="Arial"/>
          <w:sz w:val="24"/>
          <w:szCs w:val="24"/>
        </w:rPr>
        <w:t>kapitałow</w:t>
      </w:r>
      <w:r w:rsidR="007A6D7F">
        <w:rPr>
          <w:rFonts w:ascii="Arial Narrow" w:hAnsi="Arial Narrow" w:cs="Arial"/>
          <w:sz w:val="24"/>
          <w:szCs w:val="24"/>
        </w:rPr>
        <w:t>ej</w:t>
      </w:r>
      <w:r w:rsidR="007A6D7F" w:rsidRPr="007A6D7F">
        <w:rPr>
          <w:rFonts w:ascii="Arial Narrow" w:hAnsi="Arial Narrow" w:cs="Arial"/>
          <w:sz w:val="24"/>
          <w:szCs w:val="24"/>
        </w:rPr>
        <w:t xml:space="preserve"> z ustawy o rachunkowości.</w:t>
      </w:r>
    </w:p>
    <w:p w14:paraId="73C35E53" w14:textId="77777777" w:rsidR="002E0DB0" w:rsidRPr="007A6D7F" w:rsidRDefault="002E0DB0" w:rsidP="007A6D7F">
      <w:pPr>
        <w:jc w:val="both"/>
        <w:rPr>
          <w:rFonts w:ascii="Arial Narrow" w:hAnsi="Arial Narrow" w:cs="Arial"/>
          <w:sz w:val="24"/>
          <w:szCs w:val="24"/>
        </w:rPr>
      </w:pPr>
      <w:r w:rsidRPr="007A6D7F">
        <w:rPr>
          <w:rFonts w:ascii="Arial Narrow" w:hAnsi="Arial Narrow" w:cs="Arial"/>
          <w:sz w:val="24"/>
          <w:szCs w:val="24"/>
        </w:rPr>
        <w:t xml:space="preserve">2. Jeśli istnieją globalne/wspólne standardy to będą one miały pierwszeństwo, żeby nie narzucać nowych metod liczenia i nowych obowiązków. </w:t>
      </w:r>
    </w:p>
    <w:p w14:paraId="290689C5" w14:textId="23F687D6" w:rsidR="002E0DB0" w:rsidRPr="007A6D7F" w:rsidRDefault="002E0DB0" w:rsidP="007A6D7F">
      <w:pPr>
        <w:jc w:val="both"/>
        <w:rPr>
          <w:rFonts w:ascii="Arial Narrow" w:hAnsi="Arial Narrow" w:cs="Arial"/>
          <w:sz w:val="24"/>
          <w:szCs w:val="24"/>
        </w:rPr>
      </w:pPr>
      <w:r w:rsidRPr="007A6D7F">
        <w:rPr>
          <w:rFonts w:ascii="Arial Narrow" w:hAnsi="Arial Narrow" w:cs="Arial"/>
          <w:sz w:val="24"/>
          <w:szCs w:val="24"/>
        </w:rPr>
        <w:t xml:space="preserve">3. Należy wypracować wspólne podejście do przedsiębiorstw niefinansowych, które nie będą w stanie udostępnić informacji wymaganych zgodnie z tabelą (to podejście powinno być zróżnicowane do co celów danej regulacji – tzn. inne podejście do potrzeby ujawnień instytucji finansowych, inne do oceny ryzyka EGS przy planowaniu finansowania dla inwestycji, jeszcze inna przy dokonywaniu emisji zielonej obligacji). Jednocześnie w niektórych przypadkach klienci instytucji finansowych będą zobowiązani do przekazania danych, na podstawie których to już instytucja finansowa policzy dany wskaźnik. </w:t>
      </w:r>
    </w:p>
    <w:p w14:paraId="52968549" w14:textId="77777777" w:rsidR="00B8769F" w:rsidRPr="002E42AD" w:rsidRDefault="00B8769F" w:rsidP="00B8769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</w:t>
      </w:r>
      <w:r>
        <w:rPr>
          <w:rFonts w:ascii="Arial Narrow" w:hAnsi="Arial Narrow" w:cs="Arial"/>
          <w:sz w:val="24"/>
          <w:szCs w:val="24"/>
          <w:highlight w:val="yellow"/>
        </w:rPr>
        <w:t>Ujawniana i</w:t>
      </w:r>
      <w:r w:rsidRPr="006F6901">
        <w:rPr>
          <w:rFonts w:ascii="Arial Narrow" w:hAnsi="Arial Narrow" w:cs="Arial"/>
          <w:sz w:val="24"/>
          <w:szCs w:val="24"/>
          <w:highlight w:val="yellow"/>
        </w:rPr>
        <w:t>nformacja dotyczy danego roku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F6901">
        <w:rPr>
          <w:rFonts w:ascii="Arial Narrow" w:hAnsi="Arial Narrow" w:cs="Arial"/>
          <w:sz w:val="24"/>
          <w:szCs w:val="24"/>
          <w:highlight w:val="yellow"/>
        </w:rPr>
        <w:t>sprawozdawczego.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F6901">
        <w:rPr>
          <w:rFonts w:ascii="Arial Narrow" w:hAnsi="Arial Narrow" w:cs="Arial"/>
          <w:sz w:val="24"/>
          <w:szCs w:val="24"/>
          <w:highlight w:val="yellow"/>
        </w:rPr>
        <w:t>Jeśli miałaby dotyczyć innego okresu musi to zostać wprost wskazane.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341794BF" w14:textId="07B22DF2" w:rsidR="00E941B7" w:rsidRPr="007A6D7F" w:rsidRDefault="00E941B7">
      <w:pPr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14315" w:type="dxa"/>
        <w:tblLook w:val="04A0" w:firstRow="1" w:lastRow="0" w:firstColumn="1" w:lastColumn="0" w:noHBand="0" w:noVBand="1"/>
      </w:tblPr>
      <w:tblGrid>
        <w:gridCol w:w="2972"/>
        <w:gridCol w:w="11343"/>
      </w:tblGrid>
      <w:tr w:rsidR="00E941B7" w:rsidRPr="00DF3D38" w14:paraId="25D0FFC2" w14:textId="77777777" w:rsidTr="007A6D7F">
        <w:trPr>
          <w:trHeight w:val="643"/>
        </w:trPr>
        <w:tc>
          <w:tcPr>
            <w:tcW w:w="2972" w:type="dxa"/>
            <w:shd w:val="clear" w:color="auto" w:fill="C5E0B3" w:themeFill="accent6" w:themeFillTint="66"/>
          </w:tcPr>
          <w:p w14:paraId="034CBFA3" w14:textId="1783A850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wskaźnika (EN)</w:t>
            </w:r>
          </w:p>
        </w:tc>
        <w:tc>
          <w:tcPr>
            <w:tcW w:w="11343" w:type="dxa"/>
          </w:tcPr>
          <w:p w14:paraId="32607E4C" w14:textId="6BA1D97F" w:rsidR="00E941B7" w:rsidRPr="007A6D7F" w:rsidRDefault="00DF3D38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DF3D38">
              <w:rPr>
                <w:rFonts w:ascii="Arial Narrow" w:hAnsi="Arial Narrow" w:cs="Arial"/>
                <w:sz w:val="24"/>
                <w:szCs w:val="24"/>
                <w:lang w:val="en-GB"/>
              </w:rPr>
              <w:t>Carbon footprint</w:t>
            </w:r>
          </w:p>
        </w:tc>
      </w:tr>
      <w:tr w:rsidR="00E941B7" w:rsidRPr="007A6D7F" w14:paraId="0325BCB8" w14:textId="77777777" w:rsidTr="007A6D7F">
        <w:trPr>
          <w:trHeight w:val="864"/>
        </w:trPr>
        <w:tc>
          <w:tcPr>
            <w:tcW w:w="2972" w:type="dxa"/>
            <w:shd w:val="clear" w:color="auto" w:fill="C5E0B3" w:themeFill="accent6" w:themeFillTint="66"/>
          </w:tcPr>
          <w:p w14:paraId="5DF07311" w14:textId="1A5B9BC6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7A6D7F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wskaźnika (PL)</w:t>
            </w:r>
          </w:p>
        </w:tc>
        <w:tc>
          <w:tcPr>
            <w:tcW w:w="11343" w:type="dxa"/>
          </w:tcPr>
          <w:p w14:paraId="6C7B38DA" w14:textId="6858074D" w:rsidR="00E941B7" w:rsidRPr="007A6D7F" w:rsidRDefault="00DF3D38">
            <w:pPr>
              <w:rPr>
                <w:rFonts w:ascii="Arial Narrow" w:hAnsi="Arial Narrow" w:cs="Arial"/>
                <w:sz w:val="24"/>
                <w:szCs w:val="24"/>
              </w:rPr>
            </w:pPr>
            <w:r w:rsidRPr="00DF3D38">
              <w:rPr>
                <w:rFonts w:ascii="Arial Narrow" w:hAnsi="Arial Narrow" w:cs="Arial"/>
                <w:sz w:val="24"/>
                <w:szCs w:val="24"/>
              </w:rPr>
              <w:t>Ślad węglowy</w:t>
            </w:r>
          </w:p>
        </w:tc>
      </w:tr>
      <w:tr w:rsidR="00E941B7" w:rsidRPr="007A6D7F" w14:paraId="7FA8446D" w14:textId="77777777" w:rsidTr="00321446">
        <w:trPr>
          <w:trHeight w:val="2143"/>
        </w:trPr>
        <w:tc>
          <w:tcPr>
            <w:tcW w:w="2972" w:type="dxa"/>
            <w:shd w:val="clear" w:color="auto" w:fill="C5E0B3" w:themeFill="accent6" w:themeFillTint="66"/>
          </w:tcPr>
          <w:p w14:paraId="59C59743" w14:textId="1DD76450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>Wykorzystywana metoda obliczeniowa</w:t>
            </w:r>
          </w:p>
        </w:tc>
        <w:tc>
          <w:tcPr>
            <w:tcW w:w="11343" w:type="dxa"/>
          </w:tcPr>
          <w:p w14:paraId="4635CCC4" w14:textId="77777777" w:rsidR="00DF3D38" w:rsidRPr="00DF3D38" w:rsidRDefault="00DF3D38" w:rsidP="00DF3D38">
            <w:pPr>
              <w:rPr>
                <w:rFonts w:ascii="Arial Narrow" w:hAnsi="Arial Narrow" w:cs="Arial"/>
                <w:b/>
                <w:sz w:val="24"/>
                <w:szCs w:val="24"/>
                <w:u w:val="single"/>
                <w:lang w:val="en-GB"/>
              </w:rPr>
            </w:pPr>
            <w:r w:rsidRPr="00DF3D38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 xml:space="preserve">The Greenhouse Gas Protocol: A Corporate Accounting and Reporting Standard (Revised Edition) </w:t>
            </w:r>
            <w:hyperlink r:id="rId6" w:history="1">
              <w:r w:rsidRPr="00DF3D38">
                <w:rPr>
                  <w:rStyle w:val="Hipercze"/>
                  <w:rFonts w:ascii="Arial Narrow" w:hAnsi="Arial Narrow" w:cs="Arial"/>
                  <w:bCs/>
                  <w:sz w:val="24"/>
                  <w:szCs w:val="24"/>
                  <w:lang w:val="en-GB"/>
                </w:rPr>
                <w:t>https://ghgprotocol.org/corporate-standard</w:t>
              </w:r>
            </w:hyperlink>
            <w:r w:rsidRPr="00DF3D38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&gt;&gt; </w:t>
            </w:r>
            <w:hyperlink r:id="rId7" w:history="1">
              <w:r w:rsidRPr="00DF3D38">
                <w:rPr>
                  <w:rStyle w:val="Hipercze"/>
                  <w:rFonts w:ascii="Arial Narrow" w:hAnsi="Arial Narrow" w:cs="Arial"/>
                  <w:bCs/>
                  <w:sz w:val="24"/>
                  <w:szCs w:val="24"/>
                  <w:lang w:val="en-GB"/>
                </w:rPr>
                <w:t>https://ghgprotocol.org/sites/default/files/standards/ghg-protocol-revised.pdf</w:t>
              </w:r>
            </w:hyperlink>
          </w:p>
          <w:p w14:paraId="18FD43D0" w14:textId="77777777" w:rsidR="00DF3D38" w:rsidRPr="00DF3D38" w:rsidRDefault="00DF3D38" w:rsidP="00DF3D38">
            <w:pPr>
              <w:rPr>
                <w:rFonts w:ascii="Arial Narrow" w:hAnsi="Arial Narrow" w:cs="Arial"/>
                <w:b/>
                <w:sz w:val="24"/>
                <w:szCs w:val="24"/>
                <w:u w:val="single"/>
                <w:lang w:val="en-GB"/>
              </w:rPr>
            </w:pPr>
          </w:p>
          <w:p w14:paraId="471F366A" w14:textId="77777777" w:rsidR="00DF3D38" w:rsidRPr="00DF3D38" w:rsidRDefault="00DF3D38" w:rsidP="00DF3D3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F3D38">
              <w:rPr>
                <w:rFonts w:ascii="Arial Narrow" w:hAnsi="Arial Narrow" w:cs="Arial"/>
                <w:b/>
                <w:sz w:val="24"/>
                <w:szCs w:val="24"/>
              </w:rPr>
              <w:t>Pomocniczo</w:t>
            </w:r>
          </w:p>
          <w:p w14:paraId="774DE8AD" w14:textId="77777777" w:rsidR="00E941B7" w:rsidRDefault="00DF3D38" w:rsidP="00DF3D3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F3D38">
              <w:rPr>
                <w:rFonts w:ascii="Arial Narrow" w:hAnsi="Arial Narrow" w:cs="Arial"/>
                <w:b/>
                <w:sz w:val="24"/>
                <w:szCs w:val="24"/>
              </w:rPr>
              <w:t xml:space="preserve">ISO 1400067 z 2018 roku ( ślad węglowy produktu) </w:t>
            </w:r>
          </w:p>
          <w:p w14:paraId="0C48DCEE" w14:textId="63412DFC" w:rsidR="00BF4178" w:rsidRPr="007A6D7F" w:rsidRDefault="00E552E9" w:rsidP="00DF3D38">
            <w:pPr>
              <w:rPr>
                <w:rFonts w:ascii="Arial Narrow" w:hAnsi="Arial Narrow" w:cs="Arial"/>
                <w:sz w:val="24"/>
                <w:szCs w:val="24"/>
              </w:rPr>
            </w:pPr>
            <w:hyperlink r:id="rId8" w:anchor="iso:std:iso:14067:ed-1:v1:en" w:history="1">
              <w:r w:rsidR="00BF4178" w:rsidRPr="009E66EF">
                <w:rPr>
                  <w:rStyle w:val="Hipercze"/>
                  <w:rFonts w:ascii="Arial Narrow" w:hAnsi="Arial Narrow" w:cs="Arial"/>
                  <w:sz w:val="24"/>
                  <w:szCs w:val="24"/>
                </w:rPr>
                <w:t>https://www.iso.org/obp/ui/#iso:std:iso:14067:ed-1:v1:en</w:t>
              </w:r>
            </w:hyperlink>
            <w:r w:rsidR="00BF417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E941B7" w:rsidRPr="00BF4178" w14:paraId="70B2FBDC" w14:textId="77777777" w:rsidTr="007A6D7F">
        <w:trPr>
          <w:trHeight w:val="49"/>
        </w:trPr>
        <w:tc>
          <w:tcPr>
            <w:tcW w:w="2972" w:type="dxa"/>
            <w:shd w:val="clear" w:color="auto" w:fill="C5E0B3" w:themeFill="accent6" w:themeFillTint="66"/>
          </w:tcPr>
          <w:p w14:paraId="76B80F7A" w14:textId="60ABF6C8" w:rsidR="00E941B7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Definicja zawarta w projekcie RTS </w:t>
            </w:r>
          </w:p>
        </w:tc>
        <w:tc>
          <w:tcPr>
            <w:tcW w:w="11343" w:type="dxa"/>
          </w:tcPr>
          <w:p w14:paraId="24D0452F" w14:textId="77777777" w:rsidR="00B908E9" w:rsidRPr="00F811A1" w:rsidRDefault="00BF4178" w:rsidP="002E0DB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11A1">
              <w:rPr>
                <w:rFonts w:ascii="Arial" w:hAnsi="Arial" w:cs="Arial"/>
                <w:sz w:val="24"/>
                <w:szCs w:val="24"/>
                <w:lang w:val="en-US"/>
              </w:rPr>
              <w:t>‘carbon footprint’ shall be calculated in accordance with the following formula</w:t>
            </w:r>
          </w:p>
          <w:p w14:paraId="0E36BA54" w14:textId="39391C13" w:rsidR="00BF4178" w:rsidRPr="00BF4178" w:rsidRDefault="00BF4178" w:rsidP="002E0DB0">
            <w:pP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5A31C8">
              <w:rPr>
                <w:rFonts w:ascii="Arial Narrow" w:hAnsi="Arial Narrow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EF6D3E0" wp14:editId="07DC638A">
                  <wp:extent cx="4850721" cy="38566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692" cy="39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DB0" w:rsidRPr="007A6D7F" w14:paraId="13FE842B" w14:textId="77777777" w:rsidTr="007A6D7F">
        <w:trPr>
          <w:trHeight w:val="49"/>
        </w:trPr>
        <w:tc>
          <w:tcPr>
            <w:tcW w:w="2972" w:type="dxa"/>
            <w:shd w:val="clear" w:color="auto" w:fill="C5E0B3" w:themeFill="accent6" w:themeFillTint="66"/>
          </w:tcPr>
          <w:p w14:paraId="7EFC9274" w14:textId="743A604E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lastRenderedPageBreak/>
              <w:t>Informacje uzupełniające</w:t>
            </w:r>
          </w:p>
        </w:tc>
        <w:tc>
          <w:tcPr>
            <w:tcW w:w="11343" w:type="dxa"/>
          </w:tcPr>
          <w:p w14:paraId="7D5561AD" w14:textId="258EF2B3" w:rsidR="00BF4178" w:rsidRDefault="002E0DB0" w:rsidP="00BF41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1. </w:t>
            </w:r>
            <w:r w:rsidR="00BF4178" w:rsidRPr="00BF4178">
              <w:rPr>
                <w:rFonts w:ascii="Arial Narrow" w:hAnsi="Arial Narrow" w:cs="Arial"/>
                <w:sz w:val="24"/>
                <w:szCs w:val="24"/>
              </w:rPr>
              <w:t xml:space="preserve">Podstawowa definicja śladu węglowego dla każdego podmiotu (instytucji finansowej i niefinansowej): Ślad węglowy powinien być liczony jako suma </w:t>
            </w:r>
            <w:proofErr w:type="spellStart"/>
            <w:r w:rsidR="00BF4178" w:rsidRPr="00BF4178">
              <w:rPr>
                <w:rFonts w:ascii="Arial Narrow" w:hAnsi="Arial Narrow" w:cs="Arial"/>
                <w:sz w:val="24"/>
                <w:szCs w:val="24"/>
              </w:rPr>
              <w:t>Scope</w:t>
            </w:r>
            <w:proofErr w:type="spellEnd"/>
            <w:r w:rsidR="00BF4178" w:rsidRPr="00BF4178">
              <w:rPr>
                <w:rFonts w:ascii="Arial Narrow" w:hAnsi="Arial Narrow" w:cs="Arial"/>
                <w:sz w:val="24"/>
                <w:szCs w:val="24"/>
              </w:rPr>
              <w:t xml:space="preserve"> 1+2+3 (ze wskaźnika 1). </w:t>
            </w:r>
          </w:p>
          <w:p w14:paraId="22BD3740" w14:textId="1B4DFD59" w:rsidR="00BF4178" w:rsidRPr="00BF4178" w:rsidRDefault="00BF4178" w:rsidP="00BF417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BF4178">
              <w:rPr>
                <w:rFonts w:ascii="Arial Narrow" w:hAnsi="Arial Narrow" w:cs="Arial"/>
                <w:sz w:val="24"/>
                <w:szCs w:val="24"/>
              </w:rPr>
              <w:t>. Ślad węglowy instytucja niefinansowa liczy na podmiot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(grupę kapitałową)</w:t>
            </w:r>
            <w:r w:rsidRPr="00BF4178">
              <w:rPr>
                <w:rFonts w:ascii="Arial Narrow" w:hAnsi="Arial Narrow" w:cs="Arial"/>
                <w:sz w:val="24"/>
                <w:szCs w:val="24"/>
              </w:rPr>
              <w:t xml:space="preserve">, natomiast instytucja finansowa zgodnie z SFDR na podmiot i na produkt. </w:t>
            </w:r>
          </w:p>
          <w:p w14:paraId="4FFD49EC" w14:textId="50149597" w:rsidR="00BF4178" w:rsidRPr="00BF4178" w:rsidRDefault="00BF4178" w:rsidP="00BF417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BF4178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931664" w:rsidRPr="00BF4178">
              <w:rPr>
                <w:rFonts w:ascii="Arial Narrow" w:hAnsi="Arial Narrow" w:cs="Arial"/>
                <w:sz w:val="24"/>
                <w:szCs w:val="24"/>
              </w:rPr>
              <w:t xml:space="preserve">Wyróżniamy dwa rodzaje śladu węglowego (CF): ślad węglowy organizacji i ślad węglowy produktów. Oba liczone są w oparciu o LCA – Life </w:t>
            </w:r>
            <w:proofErr w:type="spellStart"/>
            <w:r w:rsidR="00931664" w:rsidRPr="00BF4178">
              <w:rPr>
                <w:rFonts w:ascii="Arial Narrow" w:hAnsi="Arial Narrow" w:cs="Arial"/>
                <w:sz w:val="24"/>
                <w:szCs w:val="24"/>
              </w:rPr>
              <w:t>Cycle</w:t>
            </w:r>
            <w:proofErr w:type="spellEnd"/>
            <w:r w:rsidR="00931664" w:rsidRPr="00BF417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931664" w:rsidRPr="00BF4178">
              <w:rPr>
                <w:rFonts w:ascii="Arial Narrow" w:hAnsi="Arial Narrow" w:cs="Arial"/>
                <w:sz w:val="24"/>
                <w:szCs w:val="24"/>
              </w:rPr>
              <w:t>Assessment</w:t>
            </w:r>
            <w:proofErr w:type="spellEnd"/>
            <w:r w:rsidR="00931664" w:rsidRPr="00BF4178">
              <w:rPr>
                <w:rFonts w:ascii="Arial Narrow" w:hAnsi="Arial Narrow" w:cs="Arial"/>
                <w:sz w:val="24"/>
                <w:szCs w:val="24"/>
              </w:rPr>
              <w:t>. W przypadku tego raportowania mówimy raczej o „</w:t>
            </w:r>
            <w:proofErr w:type="spellStart"/>
            <w:r w:rsidR="00931664" w:rsidRPr="00BF4178">
              <w:rPr>
                <w:rFonts w:ascii="Arial Narrow" w:hAnsi="Arial Narrow" w:cs="Arial"/>
                <w:sz w:val="24"/>
                <w:szCs w:val="24"/>
              </w:rPr>
              <w:t>corporate</w:t>
            </w:r>
            <w:proofErr w:type="spellEnd"/>
            <w:r w:rsidR="00931664" w:rsidRPr="00BF417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931664" w:rsidRPr="00BF4178">
              <w:rPr>
                <w:rFonts w:ascii="Arial Narrow" w:hAnsi="Arial Narrow" w:cs="Arial"/>
                <w:sz w:val="24"/>
                <w:szCs w:val="24"/>
              </w:rPr>
              <w:t>carbon</w:t>
            </w:r>
            <w:proofErr w:type="spellEnd"/>
            <w:r w:rsidR="00931664" w:rsidRPr="00BF417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931664" w:rsidRPr="00BF4178">
              <w:rPr>
                <w:rFonts w:ascii="Arial Narrow" w:hAnsi="Arial Narrow" w:cs="Arial"/>
                <w:sz w:val="24"/>
                <w:szCs w:val="24"/>
              </w:rPr>
              <w:t>footprint</w:t>
            </w:r>
            <w:proofErr w:type="spellEnd"/>
            <w:r w:rsidR="00931664" w:rsidRPr="00BF4178">
              <w:rPr>
                <w:rFonts w:ascii="Arial Narrow" w:hAnsi="Arial Narrow" w:cs="Arial"/>
                <w:sz w:val="24"/>
                <w:szCs w:val="24"/>
              </w:rPr>
              <w:t xml:space="preserve">”, który można policzyć zgodnie z protokołem GHG lub ewentualnie ISO 14064. </w:t>
            </w:r>
            <w:r w:rsidRPr="00BF4178">
              <w:rPr>
                <w:rFonts w:ascii="Arial Narrow" w:hAnsi="Arial Narrow" w:cs="Arial"/>
                <w:sz w:val="24"/>
                <w:szCs w:val="24"/>
              </w:rPr>
              <w:t>Informacje/obliczenia powinny być dokonywane na poziomie grupy kapitałowej, a nie pojedynczego podmiotu.</w:t>
            </w:r>
            <w:r w:rsidR="0093166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6757C7CA" w14:textId="110789EE" w:rsidR="00BF4178" w:rsidRPr="00BF4178" w:rsidRDefault="00BF4178" w:rsidP="00BF417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BF4178">
              <w:rPr>
                <w:rFonts w:ascii="Arial Narrow" w:hAnsi="Arial Narrow" w:cs="Arial"/>
                <w:sz w:val="24"/>
                <w:szCs w:val="24"/>
              </w:rPr>
              <w:t>.W procesie obliczania przez instytucje finansowe</w:t>
            </w:r>
            <w:r w:rsidR="0093166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BF4178">
              <w:rPr>
                <w:rFonts w:ascii="Arial Narrow" w:hAnsi="Arial Narrow" w:cs="Arial"/>
                <w:sz w:val="24"/>
                <w:szCs w:val="24"/>
              </w:rPr>
              <w:t xml:space="preserve">należy uwzględnić fakt ile podmiotów w ogóle zaraportowało emisje. </w:t>
            </w:r>
          </w:p>
          <w:p w14:paraId="78018F85" w14:textId="0E3472EE" w:rsidR="00BF4178" w:rsidRDefault="00BF4178" w:rsidP="00BF417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6.</w:t>
            </w:r>
            <w:r w:rsidRPr="00BF417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31664" w:rsidRPr="00BF4178">
              <w:rPr>
                <w:rFonts w:ascii="Arial Narrow" w:hAnsi="Arial Narrow" w:cs="Arial"/>
                <w:bCs/>
                <w:sz w:val="24"/>
                <w:szCs w:val="24"/>
              </w:rPr>
              <w:t xml:space="preserve">Na ten moment nie widać </w:t>
            </w:r>
            <w:r w:rsidR="00931664">
              <w:rPr>
                <w:rFonts w:ascii="Arial Narrow" w:hAnsi="Arial Narrow" w:cs="Arial"/>
                <w:bCs/>
                <w:sz w:val="24"/>
                <w:szCs w:val="24"/>
              </w:rPr>
              <w:t xml:space="preserve">potrzeby liczenia śladu węglowego do konkretnej inwestycji (dla instytucji niefinansowej), </w:t>
            </w:r>
            <w:r w:rsidR="00931664" w:rsidRPr="00BF4178">
              <w:rPr>
                <w:rFonts w:ascii="Arial Narrow" w:hAnsi="Arial Narrow" w:cs="Arial"/>
                <w:bCs/>
                <w:sz w:val="24"/>
                <w:szCs w:val="24"/>
              </w:rPr>
              <w:t>ale niewykluczone, że do konkretnego celu (do konkretnego finansowania) może być to potrzebne.</w:t>
            </w:r>
          </w:p>
          <w:p w14:paraId="3A8B7B1B" w14:textId="01D23497" w:rsidR="002E0DB0" w:rsidRPr="007A6D7F" w:rsidRDefault="002E0DB0" w:rsidP="002E0DB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6559C1DE" w14:textId="3F6F60CD" w:rsidR="002E0DB0" w:rsidRPr="007A6D7F" w:rsidRDefault="002E0DB0">
      <w:pPr>
        <w:rPr>
          <w:rFonts w:ascii="Arial Narrow" w:hAnsi="Arial Narrow" w:cs="Arial"/>
          <w:sz w:val="24"/>
          <w:szCs w:val="24"/>
        </w:rPr>
      </w:pPr>
    </w:p>
    <w:p w14:paraId="2EE17BAE" w14:textId="1B528892" w:rsidR="002E0DB0" w:rsidRPr="007A6D7F" w:rsidRDefault="002E0DB0">
      <w:pPr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5352"/>
      </w:tblGrid>
      <w:tr w:rsidR="002E0DB0" w:rsidRPr="007A6D7F" w14:paraId="664A0856" w14:textId="77777777" w:rsidTr="007A6D7F">
        <w:tc>
          <w:tcPr>
            <w:tcW w:w="13994" w:type="dxa"/>
            <w:gridSpan w:val="2"/>
            <w:shd w:val="clear" w:color="auto" w:fill="C5E0B3" w:themeFill="accent6" w:themeFillTint="66"/>
          </w:tcPr>
          <w:p w14:paraId="2E935C56" w14:textId="1E5C884E" w:rsidR="002E0DB0" w:rsidRPr="007A6D7F" w:rsidRDefault="002E0DB0" w:rsidP="007A6D7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Przykładowa tabela do </w:t>
            </w:r>
            <w:r w:rsidRPr="007A6D7F">
              <w:rPr>
                <w:rFonts w:ascii="Arial Narrow" w:hAnsi="Arial Narrow" w:cs="Arial"/>
                <w:sz w:val="24"/>
                <w:szCs w:val="24"/>
                <w:shd w:val="clear" w:color="auto" w:fill="C5E0B3" w:themeFill="accent6" w:themeFillTint="66"/>
              </w:rPr>
              <w:t>zebrania informacji</w:t>
            </w:r>
          </w:p>
        </w:tc>
      </w:tr>
      <w:tr w:rsidR="002E0DB0" w:rsidRPr="007A6D7F" w14:paraId="46992EEC" w14:textId="77777777" w:rsidTr="007A6D7F">
        <w:tc>
          <w:tcPr>
            <w:tcW w:w="8642" w:type="dxa"/>
            <w:shd w:val="clear" w:color="auto" w:fill="E2EFD9" w:themeFill="accent6" w:themeFillTint="33"/>
          </w:tcPr>
          <w:p w14:paraId="427DAF6A" w14:textId="49FEBD16" w:rsidR="002E0DB0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>Treść polecenia</w:t>
            </w:r>
          </w:p>
        </w:tc>
        <w:tc>
          <w:tcPr>
            <w:tcW w:w="5352" w:type="dxa"/>
            <w:shd w:val="clear" w:color="auto" w:fill="E2EFD9" w:themeFill="accent6" w:themeFillTint="33"/>
          </w:tcPr>
          <w:p w14:paraId="6ABF43CE" w14:textId="272A2B33" w:rsidR="002E0DB0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Wartość podana w tys. ton </w:t>
            </w:r>
          </w:p>
        </w:tc>
      </w:tr>
      <w:tr w:rsidR="002E0DB0" w:rsidRPr="007A6D7F" w14:paraId="324F56AF" w14:textId="77777777" w:rsidTr="007A6D7F">
        <w:tc>
          <w:tcPr>
            <w:tcW w:w="8642" w:type="dxa"/>
          </w:tcPr>
          <w:p w14:paraId="004B33CF" w14:textId="797ACC05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Proszę podać </w:t>
            </w:r>
            <w:r w:rsidR="00931664">
              <w:rPr>
                <w:rFonts w:ascii="Arial Narrow" w:hAnsi="Arial Narrow" w:cs="Arial"/>
                <w:sz w:val="24"/>
                <w:szCs w:val="24"/>
              </w:rPr>
              <w:t xml:space="preserve">ślad węglowy </w:t>
            </w:r>
            <w:r w:rsidR="007B78AB">
              <w:rPr>
                <w:rFonts w:ascii="Arial Narrow" w:hAnsi="Arial Narrow" w:cs="Arial"/>
                <w:sz w:val="24"/>
                <w:szCs w:val="24"/>
              </w:rPr>
              <w:t>organizacji</w:t>
            </w:r>
          </w:p>
          <w:p w14:paraId="7DA9DB96" w14:textId="01232013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52" w:type="dxa"/>
          </w:tcPr>
          <w:p w14:paraId="785A111C" w14:textId="77777777" w:rsidR="002E0DB0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1B8C9D8" w14:textId="0DFC5BBC" w:rsidR="00C70F90" w:rsidRDefault="00E552E9"/>
    <w:sectPr w:rsidR="00C70F90" w:rsidSect="00E941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1F32"/>
    <w:multiLevelType w:val="hybridMultilevel"/>
    <w:tmpl w:val="DAC4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76EF"/>
    <w:multiLevelType w:val="hybridMultilevel"/>
    <w:tmpl w:val="1AE65002"/>
    <w:lvl w:ilvl="0" w:tplc="0415000F">
      <w:start w:val="1"/>
      <w:numFmt w:val="decimal"/>
      <w:lvlText w:val="%1."/>
      <w:lvlJc w:val="left"/>
      <w:pPr>
        <w:ind w:left="-514" w:hanging="360"/>
      </w:pPr>
    </w:lvl>
    <w:lvl w:ilvl="1" w:tplc="04150019" w:tentative="1">
      <w:start w:val="1"/>
      <w:numFmt w:val="lowerLetter"/>
      <w:lvlText w:val="%2."/>
      <w:lvlJc w:val="left"/>
      <w:pPr>
        <w:ind w:left="424" w:hanging="360"/>
      </w:pPr>
    </w:lvl>
    <w:lvl w:ilvl="2" w:tplc="0415001B" w:tentative="1">
      <w:start w:val="1"/>
      <w:numFmt w:val="lowerRoman"/>
      <w:lvlText w:val="%3."/>
      <w:lvlJc w:val="right"/>
      <w:pPr>
        <w:ind w:left="1144" w:hanging="180"/>
      </w:pPr>
    </w:lvl>
    <w:lvl w:ilvl="3" w:tplc="0415000F" w:tentative="1">
      <w:start w:val="1"/>
      <w:numFmt w:val="decimal"/>
      <w:lvlText w:val="%4."/>
      <w:lvlJc w:val="left"/>
      <w:pPr>
        <w:ind w:left="1864" w:hanging="360"/>
      </w:pPr>
    </w:lvl>
    <w:lvl w:ilvl="4" w:tplc="04150019" w:tentative="1">
      <w:start w:val="1"/>
      <w:numFmt w:val="lowerLetter"/>
      <w:lvlText w:val="%5."/>
      <w:lvlJc w:val="left"/>
      <w:pPr>
        <w:ind w:left="2584" w:hanging="360"/>
      </w:pPr>
    </w:lvl>
    <w:lvl w:ilvl="5" w:tplc="0415001B" w:tentative="1">
      <w:start w:val="1"/>
      <w:numFmt w:val="lowerRoman"/>
      <w:lvlText w:val="%6."/>
      <w:lvlJc w:val="right"/>
      <w:pPr>
        <w:ind w:left="3304" w:hanging="180"/>
      </w:pPr>
    </w:lvl>
    <w:lvl w:ilvl="6" w:tplc="0415000F" w:tentative="1">
      <w:start w:val="1"/>
      <w:numFmt w:val="decimal"/>
      <w:lvlText w:val="%7."/>
      <w:lvlJc w:val="left"/>
      <w:pPr>
        <w:ind w:left="4024" w:hanging="360"/>
      </w:pPr>
    </w:lvl>
    <w:lvl w:ilvl="7" w:tplc="04150019" w:tentative="1">
      <w:start w:val="1"/>
      <w:numFmt w:val="lowerLetter"/>
      <w:lvlText w:val="%8."/>
      <w:lvlJc w:val="left"/>
      <w:pPr>
        <w:ind w:left="4744" w:hanging="360"/>
      </w:pPr>
    </w:lvl>
    <w:lvl w:ilvl="8" w:tplc="0415001B" w:tentative="1">
      <w:start w:val="1"/>
      <w:numFmt w:val="lowerRoman"/>
      <w:lvlText w:val="%9."/>
      <w:lvlJc w:val="right"/>
      <w:pPr>
        <w:ind w:left="54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B7"/>
    <w:rsid w:val="002E0DB0"/>
    <w:rsid w:val="00321446"/>
    <w:rsid w:val="005D1DD8"/>
    <w:rsid w:val="006A71E0"/>
    <w:rsid w:val="007A6D7F"/>
    <w:rsid w:val="007B78AB"/>
    <w:rsid w:val="00852E8E"/>
    <w:rsid w:val="00931664"/>
    <w:rsid w:val="00B8769F"/>
    <w:rsid w:val="00B908E9"/>
    <w:rsid w:val="00BF4178"/>
    <w:rsid w:val="00DF3D38"/>
    <w:rsid w:val="00E552E9"/>
    <w:rsid w:val="00E941B7"/>
    <w:rsid w:val="00F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E61E"/>
  <w15:chartTrackingRefBased/>
  <w15:docId w15:val="{6393A964-DEFD-4269-9299-0D8FC1D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1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1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41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/" TargetMode="External"/><Relationship Id="rId3" Type="http://schemas.openxmlformats.org/officeDocument/2006/relationships/styles" Target="styles.xml"/><Relationship Id="rId7" Type="http://schemas.openxmlformats.org/officeDocument/2006/relationships/hyperlink" Target="https://ghgprotocol.org/sites/default/files/standards/ghg-protocol-revis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hgprotocol.org/corporate-standar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2602-A00C-4772-A9C4-79B3BB1D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Wicha Agnieszka</dc:creator>
  <cp:keywords/>
  <dc:description/>
  <cp:lastModifiedBy>Magdalena Chodorowska</cp:lastModifiedBy>
  <cp:revision>2</cp:revision>
  <dcterms:created xsi:type="dcterms:W3CDTF">2020-12-21T16:23:00Z</dcterms:created>
  <dcterms:modified xsi:type="dcterms:W3CDTF">2020-12-21T16:23:00Z</dcterms:modified>
</cp:coreProperties>
</file>